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772" w:rsidRPr="0050028D" w:rsidRDefault="00945772" w:rsidP="00D434D2">
      <w:pPr>
        <w:pStyle w:val="Heading6"/>
        <w:bidi w:val="0"/>
        <w:rPr>
          <w:sz w:val="22"/>
          <w:szCs w:val="18"/>
        </w:rPr>
      </w:pPr>
      <w:r w:rsidRPr="0050028D">
        <w:rPr>
          <w:sz w:val="22"/>
          <w:szCs w:val="18"/>
        </w:rPr>
        <w:t>Chapter Two</w:t>
      </w:r>
    </w:p>
    <w:p w:rsidR="00945772" w:rsidRPr="0050028D" w:rsidRDefault="00945772" w:rsidP="00945772"/>
    <w:p w:rsidR="002F57CD" w:rsidRPr="0050028D" w:rsidRDefault="002F57CD" w:rsidP="00945772">
      <w:pPr>
        <w:pStyle w:val="Heading6"/>
        <w:bidi w:val="0"/>
        <w:rPr>
          <w:sz w:val="22"/>
          <w:szCs w:val="18"/>
        </w:rPr>
      </w:pPr>
      <w:r w:rsidRPr="0050028D">
        <w:rPr>
          <w:sz w:val="22"/>
          <w:szCs w:val="18"/>
        </w:rPr>
        <w:t>Summary</w:t>
      </w:r>
    </w:p>
    <w:p w:rsidR="002F57CD" w:rsidRPr="0050028D" w:rsidRDefault="002F57CD" w:rsidP="00D434D2">
      <w:pPr>
        <w:ind w:left="288"/>
        <w:jc w:val="both"/>
        <w:rPr>
          <w:rFonts w:cs="Traditional Arabic"/>
          <w:b/>
          <w:bCs/>
          <w:sz w:val="16"/>
          <w:szCs w:val="16"/>
        </w:rPr>
      </w:pPr>
    </w:p>
    <w:p w:rsidR="00B650B8" w:rsidRPr="003C2326" w:rsidRDefault="00B650B8" w:rsidP="00B650B8">
      <w:pPr>
        <w:jc w:val="both"/>
        <w:rPr>
          <w:b/>
          <w:bCs/>
          <w:color w:val="000000" w:themeColor="text1"/>
        </w:rPr>
      </w:pPr>
      <w:r w:rsidRPr="003C2326">
        <w:rPr>
          <w:b/>
          <w:bCs/>
          <w:color w:val="000000" w:themeColor="text1"/>
        </w:rPr>
        <w:t>Agriculture and Land Use</w:t>
      </w:r>
    </w:p>
    <w:p w:rsidR="00B650B8" w:rsidRPr="003C2326" w:rsidRDefault="00B650B8" w:rsidP="00224D98">
      <w:pPr>
        <w:pStyle w:val="ListParagraph"/>
        <w:jc w:val="right"/>
        <w:rPr>
          <w:color w:val="000000" w:themeColor="text1"/>
        </w:rPr>
      </w:pPr>
    </w:p>
    <w:p w:rsidR="002D5E37" w:rsidRPr="00FA397A" w:rsidRDefault="002D5E37" w:rsidP="002D5E37">
      <w:pPr>
        <w:tabs>
          <w:tab w:val="left" w:pos="284"/>
        </w:tabs>
        <w:jc w:val="both"/>
        <w:rPr>
          <w:rFonts w:cs="Traditional Arabic"/>
          <w:b/>
          <w:bCs/>
          <w:i/>
          <w:iCs/>
          <w:color w:val="000000" w:themeColor="text1"/>
          <w:sz w:val="12"/>
          <w:szCs w:val="12"/>
        </w:rPr>
      </w:pPr>
      <w:r w:rsidRPr="00FA397A">
        <w:rPr>
          <w:b/>
          <w:bCs/>
          <w:color w:val="000000" w:themeColor="text1"/>
        </w:rPr>
        <w:t>1.</w:t>
      </w:r>
      <w:r w:rsidRPr="00FA397A">
        <w:rPr>
          <w:b/>
          <w:bCs/>
          <w:color w:val="000000" w:themeColor="text1"/>
          <w:sz w:val="24"/>
          <w:szCs w:val="22"/>
        </w:rPr>
        <w:t xml:space="preserve">  </w:t>
      </w:r>
      <w:r w:rsidRPr="00FA397A">
        <w:rPr>
          <w:b/>
          <w:bCs/>
          <w:color w:val="000000" w:themeColor="text1"/>
        </w:rPr>
        <w:t xml:space="preserve">Agriculture </w:t>
      </w:r>
    </w:p>
    <w:p w:rsidR="00A4086B" w:rsidRPr="003C2326" w:rsidRDefault="00A4086B"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 xml:space="preserve">There were </w:t>
      </w:r>
      <w:r w:rsidRPr="003C2326">
        <w:rPr>
          <w:color w:val="000000" w:themeColor="text1"/>
          <w:rtl/>
        </w:rPr>
        <w:t>1</w:t>
      </w:r>
      <w:r w:rsidRPr="003C2326">
        <w:rPr>
          <w:color w:val="000000" w:themeColor="text1"/>
        </w:rPr>
        <w:t>,</w:t>
      </w:r>
      <w:r w:rsidRPr="003C2326">
        <w:rPr>
          <w:color w:val="000000" w:themeColor="text1"/>
          <w:rtl/>
        </w:rPr>
        <w:t>219</w:t>
      </w:r>
      <w:r w:rsidRPr="003C2326">
        <w:rPr>
          <w:color w:val="000000" w:themeColor="text1"/>
        </w:rPr>
        <w:t xml:space="preserve"> animal and mixed holdings in Jerusalem governorate during the agricultural year 2012/2013.</w:t>
      </w:r>
    </w:p>
    <w:p w:rsidR="00A4086B" w:rsidRPr="003C2326" w:rsidRDefault="00A4086B" w:rsidP="005E0E1F">
      <w:pPr>
        <w:pStyle w:val="BodyTextIndent"/>
        <w:tabs>
          <w:tab w:val="left" w:pos="284"/>
        </w:tabs>
        <w:bidi w:val="0"/>
        <w:ind w:left="284" w:firstLine="0"/>
        <w:rPr>
          <w:color w:val="000000" w:themeColor="text1"/>
        </w:rPr>
      </w:pPr>
    </w:p>
    <w:p w:rsidR="00A4086B" w:rsidRPr="003C2326" w:rsidRDefault="00A4086B"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There were 939</w:t>
      </w:r>
      <w:r w:rsidRPr="003C2326">
        <w:rPr>
          <w:color w:val="000000" w:themeColor="text1"/>
          <w:rtl/>
        </w:rPr>
        <w:t xml:space="preserve"> </w:t>
      </w:r>
      <w:r w:rsidRPr="003C2326">
        <w:rPr>
          <w:color w:val="000000" w:themeColor="text1"/>
        </w:rPr>
        <w:t>animal holdings comprising 77.0% of all animal and mixed holdings, and 280 mixed holdings that comprise 23.0</w:t>
      </w:r>
      <w:r w:rsidRPr="003C2326">
        <w:rPr>
          <w:color w:val="000000" w:themeColor="text1"/>
          <w:rtl/>
        </w:rPr>
        <w:t>%</w:t>
      </w:r>
      <w:r w:rsidRPr="003C2326">
        <w:rPr>
          <w:color w:val="000000" w:themeColor="text1"/>
        </w:rPr>
        <w:t xml:space="preserve"> of all animal and mixed holdings during the agricultural year 2012/2013.</w:t>
      </w:r>
    </w:p>
    <w:p w:rsidR="00A4086B" w:rsidRPr="003C2326" w:rsidRDefault="00A4086B" w:rsidP="005E0E1F">
      <w:pPr>
        <w:pStyle w:val="BodyTextIndent"/>
        <w:tabs>
          <w:tab w:val="left" w:pos="284"/>
        </w:tabs>
        <w:bidi w:val="0"/>
        <w:ind w:left="284" w:firstLine="0"/>
        <w:rPr>
          <w:color w:val="000000" w:themeColor="text1"/>
        </w:rPr>
      </w:pPr>
    </w:p>
    <w:p w:rsidR="00A4086B" w:rsidRPr="003C2326" w:rsidRDefault="00A4086B"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 xml:space="preserve">There were 265 head of cattle raised in Jerusalem governorate, 29,709 head of sheep and 17,028 head of goats </w:t>
      </w:r>
      <w:r w:rsidR="00225BCA">
        <w:rPr>
          <w:color w:val="000000" w:themeColor="text1"/>
        </w:rPr>
        <w:t>o</w:t>
      </w:r>
      <w:r w:rsidRPr="003C2326">
        <w:rPr>
          <w:color w:val="000000" w:themeColor="text1"/>
        </w:rPr>
        <w:t>n 01/10/2013.</w:t>
      </w:r>
    </w:p>
    <w:p w:rsidR="00A4086B" w:rsidRPr="003C2326" w:rsidRDefault="00A4086B" w:rsidP="005E0E1F">
      <w:pPr>
        <w:pStyle w:val="BodyTextIndent"/>
        <w:tabs>
          <w:tab w:val="left" w:pos="284"/>
        </w:tabs>
        <w:bidi w:val="0"/>
        <w:ind w:left="284" w:firstLine="0"/>
        <w:rPr>
          <w:color w:val="000000" w:themeColor="text1"/>
        </w:rPr>
      </w:pPr>
    </w:p>
    <w:p w:rsidR="00A4086B" w:rsidRPr="003C2326" w:rsidRDefault="00A4086B"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 xml:space="preserve">There were 2,000 broilers in Jerusalem governorate and 9,700 layers </w:t>
      </w:r>
      <w:r w:rsidR="00225BCA">
        <w:rPr>
          <w:color w:val="000000" w:themeColor="text1"/>
        </w:rPr>
        <w:t>o</w:t>
      </w:r>
      <w:r w:rsidRPr="003C2326">
        <w:rPr>
          <w:color w:val="000000" w:themeColor="text1"/>
        </w:rPr>
        <w:t>n 01/10/2013.</w:t>
      </w:r>
    </w:p>
    <w:p w:rsidR="00A4086B" w:rsidRPr="003C2326" w:rsidRDefault="00A4086B" w:rsidP="005E0E1F">
      <w:pPr>
        <w:pStyle w:val="BodyTextIndent"/>
        <w:tabs>
          <w:tab w:val="left" w:pos="284"/>
        </w:tabs>
        <w:bidi w:val="0"/>
        <w:ind w:left="284" w:firstLine="0"/>
        <w:rPr>
          <w:color w:val="000000" w:themeColor="text1"/>
        </w:rPr>
      </w:pPr>
    </w:p>
    <w:p w:rsidR="00A4086B" w:rsidRPr="003C2326" w:rsidRDefault="00A4086B"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 xml:space="preserve">There were </w:t>
      </w:r>
      <w:r w:rsidRPr="003C2326">
        <w:rPr>
          <w:rFonts w:hint="cs"/>
          <w:color w:val="000000" w:themeColor="text1"/>
          <w:rtl/>
        </w:rPr>
        <w:t>356</w:t>
      </w:r>
      <w:r w:rsidRPr="003C2326">
        <w:rPr>
          <w:color w:val="000000" w:themeColor="text1"/>
        </w:rPr>
        <w:t xml:space="preserve"> beehives in Jerusalem governorate</w:t>
      </w:r>
      <w:r w:rsidR="0020282F">
        <w:rPr>
          <w:color w:val="000000" w:themeColor="text1"/>
        </w:rPr>
        <w:t>.</w:t>
      </w:r>
    </w:p>
    <w:p w:rsidR="00B650B8" w:rsidRPr="003C2326" w:rsidRDefault="00B650B8" w:rsidP="00B650B8">
      <w:pPr>
        <w:pStyle w:val="BodyTextIndent"/>
        <w:tabs>
          <w:tab w:val="left" w:pos="284"/>
        </w:tabs>
        <w:bidi w:val="0"/>
        <w:ind w:left="284" w:right="720" w:firstLine="0"/>
        <w:jc w:val="both"/>
        <w:rPr>
          <w:color w:val="000000" w:themeColor="text1"/>
        </w:rPr>
      </w:pPr>
    </w:p>
    <w:p w:rsidR="00117299" w:rsidRPr="00F278B8" w:rsidRDefault="00711FD7" w:rsidP="00F278B8">
      <w:pPr>
        <w:jc w:val="both"/>
        <w:rPr>
          <w:b/>
          <w:bCs/>
          <w:color w:val="000000" w:themeColor="text1"/>
        </w:rPr>
      </w:pPr>
      <w:r w:rsidRPr="00F278B8">
        <w:rPr>
          <w:b/>
          <w:bCs/>
          <w:color w:val="000000" w:themeColor="text1"/>
        </w:rPr>
        <w:t>2</w:t>
      </w:r>
      <w:r w:rsidR="00117299" w:rsidRPr="00F278B8">
        <w:rPr>
          <w:b/>
          <w:bCs/>
          <w:color w:val="000000" w:themeColor="text1"/>
        </w:rPr>
        <w:t xml:space="preserve">. </w:t>
      </w:r>
      <w:r w:rsidR="00FA397A" w:rsidRPr="00F278B8">
        <w:rPr>
          <w:b/>
          <w:bCs/>
          <w:color w:val="000000" w:themeColor="text1"/>
        </w:rPr>
        <w:t xml:space="preserve">Population </w:t>
      </w:r>
      <w:r w:rsidR="00F278B8">
        <w:rPr>
          <w:b/>
          <w:bCs/>
          <w:color w:val="000000" w:themeColor="text1"/>
        </w:rPr>
        <w:t>D</w:t>
      </w:r>
      <w:r w:rsidR="00F278B8" w:rsidRPr="00F278B8">
        <w:rPr>
          <w:b/>
          <w:bCs/>
          <w:color w:val="000000" w:themeColor="text1"/>
        </w:rPr>
        <w:t>ensity</w:t>
      </w:r>
    </w:p>
    <w:p w:rsidR="00117299" w:rsidRPr="003C2326" w:rsidRDefault="00117299"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The total area of Jerusalem governorate was 345 km</w:t>
      </w:r>
      <w:r w:rsidRPr="003C2326">
        <w:rPr>
          <w:color w:val="000000" w:themeColor="text1"/>
          <w:vertAlign w:val="superscript"/>
        </w:rPr>
        <w:t>2</w:t>
      </w:r>
      <w:r w:rsidRPr="003C2326">
        <w:rPr>
          <w:color w:val="000000" w:themeColor="text1"/>
        </w:rPr>
        <w:t>.</w:t>
      </w:r>
    </w:p>
    <w:p w:rsidR="00117299" w:rsidRPr="003C2326" w:rsidRDefault="00117299" w:rsidP="005E0E1F">
      <w:pPr>
        <w:pStyle w:val="BodyTextIndent"/>
        <w:tabs>
          <w:tab w:val="left" w:pos="284"/>
        </w:tabs>
        <w:bidi w:val="0"/>
        <w:ind w:left="284" w:right="720" w:firstLine="0"/>
        <w:rPr>
          <w:color w:val="000000" w:themeColor="text1"/>
        </w:rPr>
      </w:pPr>
    </w:p>
    <w:p w:rsidR="00117299" w:rsidRPr="003C2326" w:rsidRDefault="00117299"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The population density in Jerusalem governorate was 1,1</w:t>
      </w:r>
      <w:r w:rsidRPr="003C2326">
        <w:rPr>
          <w:rFonts w:hint="cs"/>
          <w:color w:val="000000" w:themeColor="text1"/>
          <w:rtl/>
        </w:rPr>
        <w:t>82</w:t>
      </w:r>
      <w:r w:rsidRPr="003C2326">
        <w:rPr>
          <w:color w:val="000000" w:themeColor="text1"/>
        </w:rPr>
        <w:t xml:space="preserve"> (capita/ km</w:t>
      </w:r>
      <w:r w:rsidRPr="003C2326">
        <w:rPr>
          <w:color w:val="000000" w:themeColor="text1"/>
          <w:vertAlign w:val="superscript"/>
        </w:rPr>
        <w:t>2</w:t>
      </w:r>
      <w:r w:rsidRPr="003C2326">
        <w:rPr>
          <w:color w:val="000000" w:themeColor="text1"/>
        </w:rPr>
        <w:t xml:space="preserve">) at the end of </w:t>
      </w:r>
      <w:r w:rsidRPr="003C2326">
        <w:rPr>
          <w:rFonts w:hint="cs"/>
          <w:color w:val="000000" w:themeColor="text1"/>
          <w:rtl/>
        </w:rPr>
        <w:t>2013</w:t>
      </w:r>
      <w:r w:rsidRPr="003C2326">
        <w:rPr>
          <w:color w:val="000000" w:themeColor="text1"/>
        </w:rPr>
        <w:t>.</w:t>
      </w:r>
    </w:p>
    <w:p w:rsidR="00711FD7" w:rsidRPr="009B69B7" w:rsidRDefault="00711FD7" w:rsidP="00711FD7">
      <w:pPr>
        <w:pStyle w:val="Heading5"/>
        <w:jc w:val="center"/>
        <w:rPr>
          <w:rFonts w:ascii="Arial" w:hAnsi="Arial" w:cs="Arial"/>
          <w:b/>
          <w:bCs/>
          <w:color w:val="000000" w:themeColor="text1"/>
          <w:sz w:val="18"/>
          <w:szCs w:val="18"/>
        </w:rPr>
      </w:pPr>
      <w:r w:rsidRPr="009B69B7">
        <w:rPr>
          <w:rFonts w:ascii="Arial" w:hAnsi="Arial" w:cs="Arial"/>
          <w:b/>
          <w:bCs/>
          <w:color w:val="000000" w:themeColor="text1"/>
          <w:sz w:val="18"/>
          <w:szCs w:val="18"/>
        </w:rPr>
        <w:t>Population Density (Capita/km</w:t>
      </w:r>
      <w:r w:rsidRPr="009B69B7">
        <w:rPr>
          <w:rFonts w:ascii="Arial" w:hAnsi="Arial" w:cs="Arial"/>
          <w:b/>
          <w:bCs/>
          <w:color w:val="000000" w:themeColor="text1"/>
          <w:sz w:val="18"/>
          <w:szCs w:val="18"/>
          <w:vertAlign w:val="superscript"/>
        </w:rPr>
        <w:t>2</w:t>
      </w:r>
      <w:r w:rsidRPr="009B69B7">
        <w:rPr>
          <w:rFonts w:ascii="Arial" w:hAnsi="Arial" w:cs="Arial"/>
          <w:b/>
          <w:bCs/>
          <w:color w:val="000000" w:themeColor="text1"/>
          <w:sz w:val="18"/>
          <w:szCs w:val="18"/>
        </w:rPr>
        <w:t>)</w:t>
      </w:r>
      <w:r w:rsidRPr="009B69B7">
        <w:rPr>
          <w:rFonts w:ascii="Arial" w:hAnsi="Arial" w:cs="Arial" w:hint="cs"/>
          <w:b/>
          <w:bCs/>
          <w:color w:val="000000" w:themeColor="text1"/>
          <w:sz w:val="18"/>
          <w:szCs w:val="18"/>
          <w:rtl/>
        </w:rPr>
        <w:t xml:space="preserve"> </w:t>
      </w:r>
      <w:r w:rsidRPr="009B69B7">
        <w:rPr>
          <w:rFonts w:ascii="Arial" w:hAnsi="Arial" w:cs="Arial"/>
          <w:b/>
          <w:bCs/>
          <w:color w:val="000000" w:themeColor="text1"/>
          <w:sz w:val="18"/>
          <w:szCs w:val="18"/>
        </w:rPr>
        <w:t>by Region, End Year 2013</w:t>
      </w:r>
    </w:p>
    <w:p w:rsidR="00711FD7" w:rsidRPr="00711FD7" w:rsidRDefault="00711FD7" w:rsidP="00711FD7">
      <w:pPr>
        <w:rPr>
          <w:sz w:val="12"/>
          <w:szCs w:val="12"/>
        </w:rPr>
      </w:pPr>
    </w:p>
    <w:p w:rsidR="00711FD7" w:rsidRPr="0088618F" w:rsidRDefault="00711FD7" w:rsidP="00711FD7">
      <w:pPr>
        <w:pStyle w:val="BodyText"/>
        <w:jc w:val="center"/>
        <w:rPr>
          <w:b/>
          <w:bCs/>
          <w:rtl/>
        </w:rPr>
      </w:pPr>
      <w:r>
        <w:rPr>
          <w:b/>
          <w:bCs/>
          <w:noProof/>
          <w:rtl/>
        </w:rPr>
        <w:drawing>
          <wp:inline distT="0" distB="0" distL="0" distR="0">
            <wp:extent cx="4677041" cy="1883391"/>
            <wp:effectExtent l="19050" t="0" r="28309" b="2559"/>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711FD7" w:rsidRPr="00F278B8" w:rsidTr="00F4769E">
        <w:trPr>
          <w:trHeight w:val="312"/>
          <w:jc w:val="center"/>
        </w:trPr>
        <w:tc>
          <w:tcPr>
            <w:tcW w:w="3685" w:type="dxa"/>
            <w:tcBorders>
              <w:top w:val="nil"/>
              <w:left w:val="nil"/>
              <w:bottom w:val="nil"/>
              <w:right w:val="nil"/>
            </w:tcBorders>
          </w:tcPr>
          <w:p w:rsidR="00711FD7" w:rsidRPr="00F278B8" w:rsidRDefault="00711FD7" w:rsidP="006F5C9D">
            <w:pPr>
              <w:ind w:left="-57" w:right="-57" w:firstLine="57"/>
              <w:jc w:val="center"/>
              <w:rPr>
                <w:rFonts w:ascii="Arial" w:hAnsi="Arial" w:cs="Arial"/>
                <w:color w:val="000000" w:themeColor="text1"/>
                <w:sz w:val="14"/>
                <w:szCs w:val="14"/>
              </w:rPr>
            </w:pPr>
          </w:p>
        </w:tc>
        <w:tc>
          <w:tcPr>
            <w:tcW w:w="3686" w:type="dxa"/>
            <w:tcBorders>
              <w:top w:val="nil"/>
              <w:left w:val="nil"/>
              <w:bottom w:val="nil"/>
              <w:right w:val="nil"/>
            </w:tcBorders>
          </w:tcPr>
          <w:p w:rsidR="00711FD7" w:rsidRPr="00E6267C" w:rsidRDefault="00711FD7" w:rsidP="00F278B8">
            <w:pPr>
              <w:rPr>
                <w:rFonts w:ascii="Arial" w:hAnsi="Arial" w:cs="Arial"/>
                <w:color w:val="000000" w:themeColor="text1"/>
                <w:sz w:val="14"/>
                <w:szCs w:val="14"/>
              </w:rPr>
            </w:pPr>
            <w:r w:rsidRPr="00F278B8">
              <w:rPr>
                <w:rFonts w:ascii="Arial" w:hAnsi="Arial" w:cs="Arial" w:hint="cs"/>
                <w:color w:val="000000" w:themeColor="text1"/>
                <w:sz w:val="14"/>
                <w:szCs w:val="14"/>
                <w:rtl/>
              </w:rPr>
              <w:t>:*</w:t>
            </w:r>
            <w:r w:rsidRPr="00E6267C">
              <w:rPr>
                <w:rFonts w:ascii="Arial" w:hAnsi="Arial" w:cs="Arial"/>
                <w:color w:val="000000" w:themeColor="text1"/>
                <w:sz w:val="14"/>
                <w:szCs w:val="14"/>
              </w:rPr>
              <w:t>Data include Jerusalem</w:t>
            </w:r>
            <w:r w:rsidR="00F278B8">
              <w:rPr>
                <w:rFonts w:ascii="Arial" w:hAnsi="Arial" w:cs="Arial"/>
                <w:color w:val="000000" w:themeColor="text1"/>
                <w:sz w:val="14"/>
                <w:szCs w:val="14"/>
              </w:rPr>
              <w:t xml:space="preserve"> G</w:t>
            </w:r>
            <w:r w:rsidR="00F278B8" w:rsidRPr="00F278B8">
              <w:rPr>
                <w:rFonts w:ascii="Arial" w:hAnsi="Arial" w:cs="Arial"/>
                <w:color w:val="000000" w:themeColor="text1"/>
                <w:sz w:val="14"/>
                <w:szCs w:val="14"/>
              </w:rPr>
              <w:t>overnorate.</w:t>
            </w:r>
          </w:p>
        </w:tc>
      </w:tr>
    </w:tbl>
    <w:p w:rsidR="00711FD7" w:rsidRDefault="00711FD7" w:rsidP="00711FD7">
      <w:pPr>
        <w:jc w:val="center"/>
        <w:rPr>
          <w:rFonts w:cs="Traditional Arabic"/>
          <w:color w:val="000000" w:themeColor="text1"/>
          <w:sz w:val="10"/>
          <w:szCs w:val="10"/>
        </w:rPr>
      </w:pPr>
    </w:p>
    <w:p w:rsidR="006F5C9D" w:rsidRDefault="006F5C9D" w:rsidP="00711FD7">
      <w:pPr>
        <w:tabs>
          <w:tab w:val="left" w:pos="284"/>
        </w:tabs>
        <w:jc w:val="both"/>
        <w:rPr>
          <w:b/>
          <w:bCs/>
          <w:color w:val="000000" w:themeColor="text1"/>
          <w:sz w:val="18"/>
          <w:szCs w:val="18"/>
        </w:rPr>
      </w:pPr>
    </w:p>
    <w:p w:rsidR="006F5C9D" w:rsidRDefault="006F5C9D" w:rsidP="00711FD7">
      <w:pPr>
        <w:tabs>
          <w:tab w:val="left" w:pos="284"/>
        </w:tabs>
        <w:jc w:val="both"/>
        <w:rPr>
          <w:b/>
          <w:bCs/>
          <w:color w:val="000000" w:themeColor="text1"/>
          <w:sz w:val="18"/>
          <w:szCs w:val="18"/>
        </w:rPr>
      </w:pPr>
    </w:p>
    <w:p w:rsidR="006F5C9D" w:rsidRDefault="006F5C9D" w:rsidP="00711FD7">
      <w:pPr>
        <w:tabs>
          <w:tab w:val="left" w:pos="284"/>
        </w:tabs>
        <w:jc w:val="both"/>
        <w:rPr>
          <w:b/>
          <w:bCs/>
          <w:color w:val="000000" w:themeColor="text1"/>
          <w:sz w:val="18"/>
          <w:szCs w:val="18"/>
        </w:rPr>
      </w:pPr>
    </w:p>
    <w:p w:rsidR="0074620A" w:rsidRDefault="0074620A" w:rsidP="00711FD7">
      <w:pPr>
        <w:tabs>
          <w:tab w:val="left" w:pos="284"/>
        </w:tabs>
        <w:jc w:val="both"/>
        <w:rPr>
          <w:b/>
          <w:bCs/>
          <w:color w:val="000000" w:themeColor="text1"/>
          <w:sz w:val="18"/>
          <w:szCs w:val="18"/>
        </w:rPr>
      </w:pPr>
    </w:p>
    <w:p w:rsidR="0074620A" w:rsidRDefault="0074620A" w:rsidP="00711FD7">
      <w:pPr>
        <w:tabs>
          <w:tab w:val="left" w:pos="284"/>
        </w:tabs>
        <w:jc w:val="both"/>
        <w:rPr>
          <w:b/>
          <w:bCs/>
          <w:color w:val="000000" w:themeColor="text1"/>
          <w:sz w:val="18"/>
          <w:szCs w:val="18"/>
        </w:rPr>
      </w:pPr>
    </w:p>
    <w:p w:rsidR="00711FD7" w:rsidRPr="00FA397A" w:rsidRDefault="00711FD7" w:rsidP="00711FD7">
      <w:pPr>
        <w:tabs>
          <w:tab w:val="left" w:pos="284"/>
        </w:tabs>
        <w:jc w:val="both"/>
        <w:rPr>
          <w:b/>
          <w:bCs/>
          <w:color w:val="000000" w:themeColor="text1"/>
        </w:rPr>
      </w:pPr>
      <w:r w:rsidRPr="00FA397A">
        <w:rPr>
          <w:b/>
          <w:bCs/>
          <w:color w:val="000000" w:themeColor="text1"/>
        </w:rPr>
        <w:lastRenderedPageBreak/>
        <w:t>3. Olive Presses</w:t>
      </w:r>
    </w:p>
    <w:p w:rsidR="00711FD7" w:rsidRDefault="00711FD7" w:rsidP="00D46BBA">
      <w:pPr>
        <w:pStyle w:val="ListParagraph"/>
        <w:numPr>
          <w:ilvl w:val="0"/>
          <w:numId w:val="44"/>
        </w:numPr>
        <w:tabs>
          <w:tab w:val="num" w:pos="0"/>
          <w:tab w:val="left" w:pos="284"/>
        </w:tabs>
        <w:jc w:val="lowKashida"/>
        <w:rPr>
          <w:rFonts w:cs="Simplified Arabic"/>
          <w:b/>
          <w:bCs/>
          <w:color w:val="000000" w:themeColor="text1"/>
        </w:rPr>
      </w:pPr>
      <w:r w:rsidRPr="003C2326">
        <w:rPr>
          <w:color w:val="000000" w:themeColor="text1"/>
        </w:rPr>
        <w:t xml:space="preserve">There were </w:t>
      </w:r>
      <w:r w:rsidR="00D46BBA">
        <w:rPr>
          <w:color w:val="000000" w:themeColor="text1"/>
        </w:rPr>
        <w:t>three operating</w:t>
      </w:r>
      <w:r w:rsidR="00225BCA">
        <w:rPr>
          <w:color w:val="000000" w:themeColor="text1"/>
        </w:rPr>
        <w:t xml:space="preserve"> o</w:t>
      </w:r>
      <w:r w:rsidRPr="003C2326">
        <w:rPr>
          <w:rFonts w:cs="Simplified Arabic"/>
          <w:color w:val="000000" w:themeColor="text1"/>
        </w:rPr>
        <w:t xml:space="preserve">live </w:t>
      </w:r>
      <w:r w:rsidR="00225BCA">
        <w:rPr>
          <w:rFonts w:cs="Simplified Arabic"/>
          <w:color w:val="000000" w:themeColor="text1"/>
        </w:rPr>
        <w:t>p</w:t>
      </w:r>
      <w:r w:rsidRPr="003C2326">
        <w:rPr>
          <w:rFonts w:cs="Simplified Arabic"/>
          <w:color w:val="000000" w:themeColor="text1"/>
        </w:rPr>
        <w:t>resses</w:t>
      </w:r>
      <w:r w:rsidRPr="003C2326">
        <w:rPr>
          <w:color w:val="000000" w:themeColor="text1"/>
        </w:rPr>
        <w:t xml:space="preserve"> in Jerusalem governorate with</w:t>
      </w:r>
      <w:r w:rsidRPr="003C2326">
        <w:rPr>
          <w:rFonts w:hint="cs"/>
          <w:color w:val="000000" w:themeColor="text1"/>
          <w:rtl/>
        </w:rPr>
        <w:t xml:space="preserve">16 </w:t>
      </w:r>
      <w:r w:rsidRPr="003C2326">
        <w:rPr>
          <w:color w:val="000000" w:themeColor="text1"/>
        </w:rPr>
        <w:t xml:space="preserve"> employees in 2013.</w:t>
      </w:r>
    </w:p>
    <w:p w:rsidR="00711FD7" w:rsidRPr="003C2326" w:rsidRDefault="00711FD7" w:rsidP="005E0E1F">
      <w:pPr>
        <w:pStyle w:val="ListParagraph"/>
        <w:tabs>
          <w:tab w:val="left" w:pos="284"/>
        </w:tabs>
        <w:jc w:val="lowKashida"/>
        <w:rPr>
          <w:rFonts w:cs="Simplified Arabic"/>
          <w:b/>
          <w:bCs/>
          <w:color w:val="000000" w:themeColor="text1"/>
        </w:rPr>
      </w:pPr>
    </w:p>
    <w:p w:rsidR="00711FD7" w:rsidRDefault="00711FD7" w:rsidP="00D46BBA">
      <w:pPr>
        <w:pStyle w:val="ListParagraph"/>
        <w:numPr>
          <w:ilvl w:val="0"/>
          <w:numId w:val="44"/>
        </w:numPr>
        <w:jc w:val="lowKashida"/>
        <w:rPr>
          <w:rFonts w:ascii="Arial" w:hAnsi="Arial" w:cs="Arial"/>
          <w:color w:val="000000" w:themeColor="text1"/>
          <w:sz w:val="18"/>
          <w:szCs w:val="18"/>
        </w:rPr>
      </w:pPr>
      <w:r w:rsidRPr="003C2326">
        <w:rPr>
          <w:color w:val="000000" w:themeColor="text1"/>
        </w:rPr>
        <w:t>The output value of these presses was USD</w:t>
      </w:r>
      <w:r w:rsidRPr="003C2326">
        <w:rPr>
          <w:rFonts w:ascii="Arial" w:hAnsi="Arial" w:cs="Arial"/>
          <w:color w:val="000000" w:themeColor="text1"/>
          <w:sz w:val="18"/>
          <w:szCs w:val="18"/>
        </w:rPr>
        <w:t xml:space="preserve"> </w:t>
      </w:r>
      <w:r w:rsidR="00D46BBA">
        <w:rPr>
          <w:color w:val="000000" w:themeColor="text1"/>
        </w:rPr>
        <w:t>200</w:t>
      </w:r>
      <w:r w:rsidRPr="003C2326">
        <w:rPr>
          <w:color w:val="000000" w:themeColor="text1"/>
        </w:rPr>
        <w:t>.</w:t>
      </w:r>
      <w:r w:rsidR="00D46BBA">
        <w:rPr>
          <w:color w:val="000000" w:themeColor="text1"/>
        </w:rPr>
        <w:t>9</w:t>
      </w:r>
      <w:r w:rsidRPr="003C2326">
        <w:rPr>
          <w:rFonts w:ascii="Arial" w:hAnsi="Arial" w:cs="Arial"/>
          <w:color w:val="000000" w:themeColor="text1"/>
          <w:sz w:val="18"/>
          <w:szCs w:val="18"/>
        </w:rPr>
        <w:t xml:space="preserve"> </w:t>
      </w:r>
      <w:r w:rsidR="00D46BBA">
        <w:rPr>
          <w:color w:val="000000" w:themeColor="text1"/>
        </w:rPr>
        <w:t>thousand</w:t>
      </w:r>
      <w:r w:rsidRPr="003C2326">
        <w:rPr>
          <w:color w:val="000000" w:themeColor="text1"/>
        </w:rPr>
        <w:t>.</w:t>
      </w:r>
    </w:p>
    <w:p w:rsidR="00711FD7" w:rsidRPr="001D7F12" w:rsidRDefault="00711FD7" w:rsidP="005E0E1F">
      <w:pPr>
        <w:pStyle w:val="ListParagraph"/>
        <w:jc w:val="lowKashida"/>
        <w:rPr>
          <w:rFonts w:ascii="Arial" w:hAnsi="Arial" w:cs="Arial"/>
          <w:color w:val="000000" w:themeColor="text1"/>
          <w:sz w:val="18"/>
          <w:szCs w:val="18"/>
        </w:rPr>
      </w:pPr>
    </w:p>
    <w:p w:rsidR="00711FD7" w:rsidRDefault="00711FD7" w:rsidP="00D46BBA">
      <w:pPr>
        <w:pStyle w:val="ListParagraph"/>
        <w:numPr>
          <w:ilvl w:val="0"/>
          <w:numId w:val="44"/>
        </w:numPr>
        <w:jc w:val="lowKashida"/>
        <w:rPr>
          <w:rFonts w:ascii="Arial" w:hAnsi="Arial" w:cs="Arial"/>
          <w:color w:val="000000" w:themeColor="text1"/>
          <w:sz w:val="18"/>
          <w:szCs w:val="18"/>
        </w:rPr>
      </w:pPr>
      <w:r w:rsidRPr="003C2326">
        <w:rPr>
          <w:color w:val="000000" w:themeColor="text1"/>
        </w:rPr>
        <w:t xml:space="preserve">The value added realized by the </w:t>
      </w:r>
      <w:r w:rsidR="00225BCA">
        <w:rPr>
          <w:color w:val="000000" w:themeColor="text1"/>
        </w:rPr>
        <w:t xml:space="preserve">olive </w:t>
      </w:r>
      <w:r w:rsidRPr="003C2326">
        <w:rPr>
          <w:color w:val="000000" w:themeColor="text1"/>
        </w:rPr>
        <w:t>press</w:t>
      </w:r>
      <w:r w:rsidR="00225BCA">
        <w:rPr>
          <w:color w:val="000000" w:themeColor="text1"/>
        </w:rPr>
        <w:t xml:space="preserve"> sector</w:t>
      </w:r>
      <w:r w:rsidRPr="003C2326">
        <w:rPr>
          <w:color w:val="000000" w:themeColor="text1"/>
        </w:rPr>
        <w:t xml:space="preserve"> was USD</w:t>
      </w:r>
      <w:r w:rsidRPr="003C2326">
        <w:rPr>
          <w:rFonts w:hint="cs"/>
          <w:color w:val="000000" w:themeColor="text1"/>
          <w:rtl/>
        </w:rPr>
        <w:t xml:space="preserve"> </w:t>
      </w:r>
      <w:r w:rsidR="00D46BBA">
        <w:rPr>
          <w:color w:val="000000" w:themeColor="text1"/>
        </w:rPr>
        <w:t>151</w:t>
      </w:r>
      <w:r w:rsidRPr="003C2326">
        <w:rPr>
          <w:color w:val="000000" w:themeColor="text1"/>
        </w:rPr>
        <w:t>.</w:t>
      </w:r>
      <w:r w:rsidR="00D46BBA">
        <w:rPr>
          <w:color w:val="000000" w:themeColor="text1"/>
        </w:rPr>
        <w:t>2</w:t>
      </w:r>
      <w:r w:rsidRPr="003C2326">
        <w:rPr>
          <w:rFonts w:hint="cs"/>
          <w:color w:val="000000" w:themeColor="text1"/>
          <w:rtl/>
        </w:rPr>
        <w:t xml:space="preserve"> </w:t>
      </w:r>
      <w:r w:rsidR="00D46BBA">
        <w:rPr>
          <w:color w:val="000000" w:themeColor="text1"/>
        </w:rPr>
        <w:t>thousand</w:t>
      </w:r>
      <w:r w:rsidRPr="003C2326">
        <w:rPr>
          <w:rFonts w:ascii="Arial" w:hAnsi="Arial" w:cs="Arial"/>
          <w:color w:val="000000" w:themeColor="text1"/>
          <w:sz w:val="18"/>
          <w:szCs w:val="18"/>
        </w:rPr>
        <w:t>.</w:t>
      </w:r>
    </w:p>
    <w:p w:rsidR="00C85ACB" w:rsidRDefault="00C85ACB">
      <w:pPr>
        <w:pStyle w:val="ListParagraph"/>
        <w:rPr>
          <w:rFonts w:ascii="Arial" w:hAnsi="Arial" w:cs="Arial"/>
          <w:color w:val="000000" w:themeColor="text1"/>
          <w:sz w:val="18"/>
          <w:szCs w:val="18"/>
        </w:rPr>
      </w:pPr>
    </w:p>
    <w:p w:rsidR="00C85ACB" w:rsidRDefault="00C85ACB">
      <w:pPr>
        <w:jc w:val="lowKashida"/>
        <w:rPr>
          <w:rFonts w:ascii="Arial" w:hAnsi="Arial" w:cs="Arial"/>
          <w:color w:val="000000" w:themeColor="text1"/>
          <w:sz w:val="18"/>
          <w:szCs w:val="18"/>
        </w:rPr>
      </w:pPr>
    </w:p>
    <w:p w:rsidR="002D5E37" w:rsidRPr="003C2326" w:rsidRDefault="002D5E37" w:rsidP="005E0E1F">
      <w:pPr>
        <w:jc w:val="lowKashida"/>
        <w:rPr>
          <w:b/>
          <w:bCs/>
          <w:color w:val="000000" w:themeColor="text1"/>
        </w:rPr>
      </w:pPr>
      <w:r w:rsidRPr="003C2326">
        <w:rPr>
          <w:b/>
          <w:bCs/>
          <w:color w:val="000000" w:themeColor="text1"/>
        </w:rPr>
        <w:t>Environment and Natural Resources</w:t>
      </w:r>
    </w:p>
    <w:p w:rsidR="002D5E37" w:rsidRPr="003C2326" w:rsidRDefault="002D5E37" w:rsidP="005E0E1F">
      <w:pPr>
        <w:jc w:val="lowKashida"/>
        <w:rPr>
          <w:b/>
          <w:bCs/>
          <w:color w:val="000000" w:themeColor="text1"/>
        </w:rPr>
      </w:pPr>
    </w:p>
    <w:p w:rsidR="002D5E37" w:rsidRPr="003C2326" w:rsidRDefault="00C77538" w:rsidP="005E0E1F">
      <w:pPr>
        <w:ind w:right="720"/>
        <w:jc w:val="lowKashida"/>
        <w:rPr>
          <w:b/>
          <w:bCs/>
          <w:color w:val="000000" w:themeColor="text1"/>
        </w:rPr>
      </w:pPr>
      <w:r w:rsidRPr="003C2326">
        <w:rPr>
          <w:b/>
          <w:bCs/>
          <w:color w:val="000000" w:themeColor="text1"/>
        </w:rPr>
        <w:t>1</w:t>
      </w:r>
      <w:r w:rsidR="002D5E37" w:rsidRPr="003C2326">
        <w:rPr>
          <w:b/>
          <w:bCs/>
          <w:color w:val="000000" w:themeColor="text1"/>
        </w:rPr>
        <w:t xml:space="preserve">. Water </w:t>
      </w:r>
    </w:p>
    <w:p w:rsidR="000B7C15" w:rsidRPr="003C2326" w:rsidRDefault="000B7C15"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 xml:space="preserve">In Jerusalem J2 the </w:t>
      </w:r>
      <w:r w:rsidR="00225BCA">
        <w:rPr>
          <w:color w:val="000000" w:themeColor="text1"/>
        </w:rPr>
        <w:t xml:space="preserve">water </w:t>
      </w:r>
      <w:r w:rsidRPr="003C2326">
        <w:rPr>
          <w:color w:val="000000" w:themeColor="text1"/>
        </w:rPr>
        <w:t>situation is very compl</w:t>
      </w:r>
      <w:r w:rsidR="00225BCA">
        <w:rPr>
          <w:color w:val="000000" w:themeColor="text1"/>
        </w:rPr>
        <w:t>ex. In 2012</w:t>
      </w:r>
      <w:r w:rsidR="00E25737">
        <w:rPr>
          <w:color w:val="000000" w:themeColor="text1"/>
        </w:rPr>
        <w:t>,</w:t>
      </w:r>
      <w:r w:rsidR="00225BCA">
        <w:rPr>
          <w:color w:val="000000" w:themeColor="text1"/>
        </w:rPr>
        <w:t xml:space="preserve"> 3.8 MCM of</w:t>
      </w:r>
      <w:r w:rsidRPr="003C2326">
        <w:rPr>
          <w:color w:val="000000" w:themeColor="text1"/>
        </w:rPr>
        <w:t xml:space="preserve"> water </w:t>
      </w:r>
      <w:r w:rsidR="00225BCA">
        <w:rPr>
          <w:color w:val="000000" w:themeColor="text1"/>
        </w:rPr>
        <w:t xml:space="preserve">was </w:t>
      </w:r>
      <w:r w:rsidRPr="003C2326">
        <w:rPr>
          <w:color w:val="000000" w:themeColor="text1"/>
        </w:rPr>
        <w:t>supplied to the domestic sector.</w:t>
      </w:r>
    </w:p>
    <w:p w:rsidR="000B7C15" w:rsidRPr="003C2326" w:rsidRDefault="000B7C15" w:rsidP="005E0E1F">
      <w:pPr>
        <w:pStyle w:val="BodyTextIndent"/>
        <w:tabs>
          <w:tab w:val="left" w:pos="284"/>
        </w:tabs>
        <w:bidi w:val="0"/>
        <w:ind w:firstLine="0"/>
        <w:rPr>
          <w:color w:val="000000" w:themeColor="text1"/>
        </w:rPr>
      </w:pPr>
    </w:p>
    <w:p w:rsidR="000B7C15" w:rsidRPr="003C2326" w:rsidRDefault="00225BCA" w:rsidP="005E0E1F">
      <w:pPr>
        <w:pStyle w:val="BodyTextIndent"/>
        <w:numPr>
          <w:ilvl w:val="0"/>
          <w:numId w:val="2"/>
        </w:numPr>
        <w:tabs>
          <w:tab w:val="left" w:pos="284"/>
        </w:tabs>
        <w:bidi w:val="0"/>
        <w:ind w:left="284" w:right="0" w:hanging="284"/>
        <w:rPr>
          <w:color w:val="000000" w:themeColor="text1"/>
        </w:rPr>
      </w:pPr>
      <w:r>
        <w:rPr>
          <w:color w:val="000000" w:themeColor="text1"/>
        </w:rPr>
        <w:t xml:space="preserve">In 2013, </w:t>
      </w:r>
      <w:r w:rsidR="000B7C15" w:rsidRPr="003C2326">
        <w:rPr>
          <w:color w:val="000000" w:themeColor="text1"/>
          <w:rtl/>
        </w:rPr>
        <w:t>9</w:t>
      </w:r>
      <w:r w:rsidR="000B7C15" w:rsidRPr="003C2326">
        <w:rPr>
          <w:rFonts w:hint="cs"/>
          <w:color w:val="000000" w:themeColor="text1"/>
          <w:rtl/>
        </w:rPr>
        <w:t>7.6</w:t>
      </w:r>
      <w:r>
        <w:rPr>
          <w:color w:val="000000" w:themeColor="text1"/>
          <w:lang w:val="en-GB"/>
        </w:rPr>
        <w:t>%</w:t>
      </w:r>
      <w:r w:rsidR="000B7C15" w:rsidRPr="003C2326">
        <w:rPr>
          <w:color w:val="000000" w:themeColor="text1"/>
        </w:rPr>
        <w:t xml:space="preserve"> of </w:t>
      </w:r>
      <w:r>
        <w:rPr>
          <w:color w:val="000000" w:themeColor="text1"/>
        </w:rPr>
        <w:t>h</w:t>
      </w:r>
      <w:r w:rsidR="000B7C15" w:rsidRPr="003C2326">
        <w:rPr>
          <w:color w:val="000000" w:themeColor="text1"/>
        </w:rPr>
        <w:t xml:space="preserve">ouseholds in Jerusalem </w:t>
      </w:r>
      <w:r w:rsidR="002711C2">
        <w:rPr>
          <w:color w:val="000000" w:themeColor="text1"/>
        </w:rPr>
        <w:t>g</w:t>
      </w:r>
      <w:r w:rsidR="000B7C15" w:rsidRPr="003C2326">
        <w:rPr>
          <w:color w:val="000000" w:themeColor="text1"/>
        </w:rPr>
        <w:t>overnorate live</w:t>
      </w:r>
      <w:r>
        <w:rPr>
          <w:color w:val="000000" w:themeColor="text1"/>
        </w:rPr>
        <w:t>d</w:t>
      </w:r>
      <w:r w:rsidR="000B7C15" w:rsidRPr="003C2326">
        <w:rPr>
          <w:color w:val="000000" w:themeColor="text1"/>
        </w:rPr>
        <w:t xml:space="preserve"> in housing units connected to a water network.</w:t>
      </w:r>
    </w:p>
    <w:p w:rsidR="000B7C15" w:rsidRPr="003C2326" w:rsidRDefault="000B7C15" w:rsidP="005E0E1F">
      <w:pPr>
        <w:pStyle w:val="BodyTextIndent"/>
        <w:tabs>
          <w:tab w:val="left" w:pos="284"/>
        </w:tabs>
        <w:bidi w:val="0"/>
        <w:ind w:firstLine="0"/>
        <w:rPr>
          <w:color w:val="000000" w:themeColor="text1"/>
        </w:rPr>
      </w:pPr>
    </w:p>
    <w:p w:rsidR="000B7C15" w:rsidRDefault="00225BCA" w:rsidP="005E0E1F">
      <w:pPr>
        <w:pStyle w:val="BodyTextIndent"/>
        <w:numPr>
          <w:ilvl w:val="0"/>
          <w:numId w:val="2"/>
        </w:numPr>
        <w:tabs>
          <w:tab w:val="left" w:pos="284"/>
        </w:tabs>
        <w:bidi w:val="0"/>
        <w:ind w:left="284" w:right="0" w:hanging="284"/>
        <w:rPr>
          <w:color w:val="000000" w:themeColor="text1"/>
        </w:rPr>
      </w:pPr>
      <w:r>
        <w:rPr>
          <w:color w:val="000000" w:themeColor="text1"/>
          <w:lang w:val="en-GB"/>
        </w:rPr>
        <w:t xml:space="preserve">In 2013, </w:t>
      </w:r>
      <w:r w:rsidR="000B7C15" w:rsidRPr="003C2326">
        <w:rPr>
          <w:rFonts w:hint="cs"/>
          <w:color w:val="000000" w:themeColor="text1"/>
          <w:rtl/>
        </w:rPr>
        <w:t>35.7</w:t>
      </w:r>
      <w:r w:rsidR="000B7C15" w:rsidRPr="003C2326">
        <w:rPr>
          <w:color w:val="000000" w:themeColor="text1"/>
        </w:rPr>
        <w:t xml:space="preserve">% of households in Jerusalem </w:t>
      </w:r>
      <w:r w:rsidR="002711C2">
        <w:rPr>
          <w:color w:val="000000" w:themeColor="text1"/>
        </w:rPr>
        <w:t>g</w:t>
      </w:r>
      <w:r w:rsidR="000B7C15" w:rsidRPr="003C2326">
        <w:rPr>
          <w:color w:val="000000" w:themeColor="text1"/>
        </w:rPr>
        <w:t>overnorate considered the water quality to be good.</w:t>
      </w:r>
    </w:p>
    <w:p w:rsidR="00251125" w:rsidRDefault="00251125" w:rsidP="00251125">
      <w:pPr>
        <w:pStyle w:val="ListParagraph"/>
        <w:rPr>
          <w:color w:val="000000" w:themeColor="text1"/>
        </w:rPr>
      </w:pPr>
    </w:p>
    <w:p w:rsidR="000B7C15" w:rsidRPr="003C2326" w:rsidRDefault="000B7C15" w:rsidP="005E0E1F">
      <w:pPr>
        <w:pStyle w:val="BodyTextIndent"/>
        <w:numPr>
          <w:ilvl w:val="0"/>
          <w:numId w:val="2"/>
        </w:numPr>
        <w:tabs>
          <w:tab w:val="left" w:pos="284"/>
        </w:tabs>
        <w:bidi w:val="0"/>
        <w:ind w:left="284" w:right="0" w:hanging="284"/>
        <w:rPr>
          <w:color w:val="000000" w:themeColor="text1"/>
        </w:rPr>
      </w:pPr>
      <w:r w:rsidRPr="003C2326">
        <w:rPr>
          <w:color w:val="000000" w:themeColor="text1"/>
        </w:rPr>
        <w:t xml:space="preserve">In 2013, 13.9% of households in Jerusalem </w:t>
      </w:r>
      <w:r w:rsidR="002711C2">
        <w:rPr>
          <w:color w:val="000000" w:themeColor="text1"/>
        </w:rPr>
        <w:t>g</w:t>
      </w:r>
      <w:r w:rsidRPr="003C2326">
        <w:rPr>
          <w:color w:val="000000" w:themeColor="text1"/>
        </w:rPr>
        <w:t xml:space="preserve">overnorate </w:t>
      </w:r>
      <w:r w:rsidR="00225BCA">
        <w:rPr>
          <w:color w:val="000000" w:themeColor="text1"/>
        </w:rPr>
        <w:t>we</w:t>
      </w:r>
      <w:r w:rsidRPr="003C2326">
        <w:rPr>
          <w:color w:val="000000" w:themeColor="text1"/>
        </w:rPr>
        <w:t xml:space="preserve">re supplied with water </w:t>
      </w:r>
      <w:r w:rsidR="00225BCA">
        <w:rPr>
          <w:color w:val="000000" w:themeColor="text1"/>
        </w:rPr>
        <w:t>on</w:t>
      </w:r>
      <w:r w:rsidR="000E3506">
        <w:rPr>
          <w:color w:val="000000" w:themeColor="text1"/>
        </w:rPr>
        <w:t xml:space="preserve">      </w:t>
      </w:r>
      <w:r w:rsidR="00225BCA">
        <w:rPr>
          <w:color w:val="000000" w:themeColor="text1"/>
        </w:rPr>
        <w:t xml:space="preserve"> a </w:t>
      </w:r>
      <w:r w:rsidRPr="003C2326">
        <w:rPr>
          <w:color w:val="000000" w:themeColor="text1"/>
        </w:rPr>
        <w:t>daily</w:t>
      </w:r>
      <w:r w:rsidR="00225BCA">
        <w:rPr>
          <w:color w:val="000000" w:themeColor="text1"/>
        </w:rPr>
        <w:t xml:space="preserve"> basis and </w:t>
      </w:r>
      <w:r w:rsidRPr="003C2326">
        <w:rPr>
          <w:color w:val="000000" w:themeColor="text1"/>
        </w:rPr>
        <w:t xml:space="preserve">82.3% of households </w:t>
      </w:r>
      <w:r w:rsidR="00225BCA">
        <w:rPr>
          <w:color w:val="000000" w:themeColor="text1"/>
        </w:rPr>
        <w:t>we</w:t>
      </w:r>
      <w:r w:rsidRPr="003C2326">
        <w:rPr>
          <w:color w:val="000000" w:themeColor="text1"/>
        </w:rPr>
        <w:t xml:space="preserve">re supplied with water </w:t>
      </w:r>
      <w:r w:rsidR="00E25737">
        <w:rPr>
          <w:color w:val="000000" w:themeColor="text1"/>
        </w:rPr>
        <w:t>during</w:t>
      </w:r>
      <w:r w:rsidRPr="003C2326">
        <w:rPr>
          <w:color w:val="000000" w:themeColor="text1"/>
        </w:rPr>
        <w:t xml:space="preserve"> 3-4 days per week. </w:t>
      </w:r>
    </w:p>
    <w:p w:rsidR="000B7C15" w:rsidRDefault="000B7C15" w:rsidP="000B7C15">
      <w:pPr>
        <w:pStyle w:val="BodyTextIndent"/>
        <w:tabs>
          <w:tab w:val="left" w:pos="284"/>
        </w:tabs>
        <w:bidi w:val="0"/>
        <w:ind w:firstLine="0"/>
        <w:jc w:val="both"/>
        <w:rPr>
          <w:color w:val="000000" w:themeColor="text1"/>
        </w:rPr>
      </w:pPr>
    </w:p>
    <w:tbl>
      <w:tblPr>
        <w:bidiVisual/>
        <w:tblW w:w="8158" w:type="dxa"/>
        <w:jc w:val="center"/>
        <w:tblInd w:w="-131" w:type="dxa"/>
        <w:tblLayout w:type="fixed"/>
        <w:tblLook w:val="04A0"/>
      </w:tblPr>
      <w:tblGrid>
        <w:gridCol w:w="8158"/>
      </w:tblGrid>
      <w:tr w:rsidR="00396F32" w:rsidRPr="008F7FF0" w:rsidTr="00396F32">
        <w:trPr>
          <w:trHeight w:val="330"/>
          <w:jc w:val="center"/>
        </w:trPr>
        <w:tc>
          <w:tcPr>
            <w:tcW w:w="8158" w:type="dxa"/>
            <w:tcBorders>
              <w:top w:val="nil"/>
              <w:left w:val="nil"/>
              <w:bottom w:val="nil"/>
              <w:right w:val="nil"/>
            </w:tcBorders>
            <w:shd w:val="clear" w:color="auto" w:fill="auto"/>
            <w:hideMark/>
          </w:tcPr>
          <w:p w:rsidR="00396F32" w:rsidRPr="008F7FF0" w:rsidRDefault="00396F32" w:rsidP="00225BCA">
            <w:pPr>
              <w:jc w:val="center"/>
              <w:rPr>
                <w:rFonts w:ascii="Arial" w:hAnsi="Arial" w:cs="Simplified Arabic"/>
                <w:b/>
                <w:bCs/>
                <w:sz w:val="18"/>
                <w:szCs w:val="18"/>
              </w:rPr>
            </w:pPr>
            <w:r w:rsidRPr="008F7FF0">
              <w:rPr>
                <w:rFonts w:ascii="Arial" w:hAnsi="Arial" w:cs="Simplified Arabic"/>
                <w:b/>
                <w:bCs/>
                <w:sz w:val="18"/>
                <w:szCs w:val="18"/>
              </w:rPr>
              <w:t xml:space="preserve">Percentage Distribution of Households in </w:t>
            </w:r>
            <w:r w:rsidRPr="008B2D52">
              <w:rPr>
                <w:rFonts w:ascii="Arial" w:hAnsi="Arial" w:cs="Simplified Arabic"/>
                <w:b/>
                <w:bCs/>
                <w:sz w:val="18"/>
                <w:szCs w:val="18"/>
              </w:rPr>
              <w:t>Jerusalem</w:t>
            </w:r>
            <w:r w:rsidRPr="008B2D52">
              <w:rPr>
                <w:rFonts w:ascii="Arial" w:hAnsi="Arial" w:cs="Simplified Arabic" w:hint="cs"/>
                <w:b/>
                <w:bCs/>
                <w:sz w:val="18"/>
                <w:szCs w:val="18"/>
                <w:rtl/>
              </w:rPr>
              <w:t xml:space="preserve"> </w:t>
            </w:r>
            <w:r w:rsidRPr="008B2D52">
              <w:rPr>
                <w:rFonts w:ascii="Arial" w:hAnsi="Arial" w:cs="Simplified Arabic"/>
                <w:b/>
                <w:bCs/>
                <w:sz w:val="18"/>
                <w:szCs w:val="18"/>
              </w:rPr>
              <w:t xml:space="preserve">Governorate </w:t>
            </w:r>
            <w:r w:rsidRPr="008F7FF0">
              <w:rPr>
                <w:rFonts w:ascii="Arial" w:hAnsi="Arial" w:cs="Simplified Arabic"/>
                <w:b/>
                <w:bCs/>
                <w:sz w:val="18"/>
                <w:szCs w:val="18"/>
              </w:rPr>
              <w:t>by Household</w:t>
            </w:r>
            <w:r w:rsidR="00DC6E93">
              <w:rPr>
                <w:rFonts w:ascii="Arial" w:hAnsi="Arial" w:cs="Simplified Arabic"/>
                <w:b/>
                <w:bCs/>
                <w:sz w:val="18"/>
                <w:szCs w:val="18"/>
              </w:rPr>
              <w:t xml:space="preserve">    </w:t>
            </w:r>
            <w:r w:rsidRPr="008F7FF0">
              <w:rPr>
                <w:rFonts w:ascii="Arial" w:hAnsi="Arial" w:cs="Simplified Arabic"/>
                <w:b/>
                <w:bCs/>
                <w:sz w:val="18"/>
                <w:szCs w:val="18"/>
              </w:rPr>
              <w:t xml:space="preserve"> Evaluation of Water Quality, 2013</w:t>
            </w:r>
          </w:p>
        </w:tc>
      </w:tr>
    </w:tbl>
    <w:p w:rsidR="00396F32" w:rsidRDefault="00396F32" w:rsidP="00396F32">
      <w:pPr>
        <w:jc w:val="center"/>
        <w:rPr>
          <w:rFonts w:ascii="Simplified Arabic" w:hAnsi="Simplified Arabic" w:cs="Simplified Arabic"/>
          <w:b/>
          <w:bCs/>
          <w:sz w:val="18"/>
          <w:szCs w:val="18"/>
          <w:rtl/>
        </w:rPr>
      </w:pPr>
      <w:r w:rsidRPr="00FA397A">
        <w:rPr>
          <w:rFonts w:ascii="Simplified Arabic" w:hAnsi="Simplified Arabic" w:cs="Simplified Arabic" w:hint="cs"/>
          <w:b/>
          <w:bCs/>
          <w:noProof/>
          <w:sz w:val="18"/>
          <w:szCs w:val="18"/>
          <w:rtl/>
        </w:rPr>
        <w:drawing>
          <wp:inline distT="0" distB="0" distL="0" distR="0">
            <wp:extent cx="4681182" cy="2108579"/>
            <wp:effectExtent l="19050" t="0" r="24168" b="5971"/>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96F32" w:rsidRPr="003C2326" w:rsidRDefault="00396F32" w:rsidP="00396F32">
      <w:pPr>
        <w:pStyle w:val="BodyTextIndent"/>
        <w:tabs>
          <w:tab w:val="left" w:pos="284"/>
        </w:tabs>
        <w:bidi w:val="0"/>
        <w:ind w:firstLine="0"/>
        <w:jc w:val="both"/>
        <w:rPr>
          <w:color w:val="000000" w:themeColor="text1"/>
        </w:rPr>
      </w:pPr>
    </w:p>
    <w:p w:rsidR="002D5E37" w:rsidRPr="001A513A" w:rsidRDefault="00C77538" w:rsidP="002D5E37">
      <w:pPr>
        <w:pStyle w:val="BodyTextIndent"/>
        <w:tabs>
          <w:tab w:val="num" w:pos="0"/>
        </w:tabs>
        <w:bidi w:val="0"/>
        <w:ind w:firstLine="0"/>
        <w:jc w:val="both"/>
        <w:rPr>
          <w:b/>
          <w:bCs/>
          <w:color w:val="000000" w:themeColor="text1"/>
          <w:sz w:val="16"/>
          <w:szCs w:val="16"/>
        </w:rPr>
      </w:pPr>
      <w:r w:rsidRPr="001A513A">
        <w:rPr>
          <w:b/>
          <w:bCs/>
          <w:color w:val="000000" w:themeColor="text1"/>
        </w:rPr>
        <w:t>2</w:t>
      </w:r>
      <w:r w:rsidR="002D5E37" w:rsidRPr="001A513A">
        <w:rPr>
          <w:b/>
          <w:bCs/>
          <w:color w:val="000000" w:themeColor="text1"/>
        </w:rPr>
        <w:t xml:space="preserve">.  Electricity </w:t>
      </w:r>
    </w:p>
    <w:p w:rsidR="001A513A" w:rsidRDefault="001A513A" w:rsidP="00C43182">
      <w:pPr>
        <w:numPr>
          <w:ilvl w:val="0"/>
          <w:numId w:val="7"/>
        </w:numPr>
        <w:tabs>
          <w:tab w:val="clear" w:pos="720"/>
          <w:tab w:val="num" w:pos="284"/>
        </w:tabs>
        <w:ind w:left="284" w:right="0" w:hanging="284"/>
        <w:jc w:val="lowKashida"/>
        <w:rPr>
          <w:rFonts w:cs="Traditional Arabic"/>
          <w:b/>
          <w:bCs/>
          <w:color w:val="000000" w:themeColor="text1"/>
          <w:sz w:val="22"/>
          <w:szCs w:val="22"/>
        </w:rPr>
      </w:pPr>
      <w:r w:rsidRPr="001A513A">
        <w:rPr>
          <w:color w:val="000000" w:themeColor="text1"/>
        </w:rPr>
        <w:t xml:space="preserve">There were </w:t>
      </w:r>
      <w:r w:rsidRPr="001A513A">
        <w:rPr>
          <w:rFonts w:cs="Simplified Arabic"/>
          <w:color w:val="000000" w:themeColor="text1"/>
        </w:rPr>
        <w:t>103,149</w:t>
      </w:r>
      <w:r w:rsidRPr="001A513A">
        <w:rPr>
          <w:rFonts w:cs="Simplified Arabic" w:hint="cs"/>
          <w:color w:val="000000" w:themeColor="text1"/>
          <w:rtl/>
        </w:rPr>
        <w:t xml:space="preserve"> </w:t>
      </w:r>
      <w:r w:rsidR="00C43182">
        <w:rPr>
          <w:color w:val="000000" w:themeColor="text1"/>
        </w:rPr>
        <w:t>subscribers</w:t>
      </w:r>
      <w:r w:rsidRPr="001A513A">
        <w:rPr>
          <w:color w:val="000000" w:themeColor="text1"/>
        </w:rPr>
        <w:t xml:space="preserve"> of electricity services in Jerusalem governorate in 2013 compared with </w:t>
      </w:r>
      <w:r w:rsidRPr="001A513A">
        <w:rPr>
          <w:rFonts w:cs="Simplified Arabic"/>
          <w:color w:val="000000" w:themeColor="text1"/>
        </w:rPr>
        <w:t>100,142</w:t>
      </w:r>
      <w:r w:rsidRPr="001A513A">
        <w:rPr>
          <w:rFonts w:cs="Simplified Arabic" w:hint="cs"/>
          <w:color w:val="000000" w:themeColor="text1"/>
          <w:rtl/>
        </w:rPr>
        <w:t xml:space="preserve"> </w:t>
      </w:r>
      <w:r w:rsidR="00C43182">
        <w:rPr>
          <w:color w:val="000000" w:themeColor="text1"/>
        </w:rPr>
        <w:t>Subscribers</w:t>
      </w:r>
      <w:r w:rsidRPr="001A513A">
        <w:rPr>
          <w:color w:val="000000" w:themeColor="text1"/>
        </w:rPr>
        <w:t xml:space="preserve"> in 2012, 96,192 </w:t>
      </w:r>
      <w:r w:rsidR="00C43182">
        <w:rPr>
          <w:color w:val="000000" w:themeColor="text1"/>
        </w:rPr>
        <w:t>subscribers</w:t>
      </w:r>
      <w:r w:rsidR="00C43182" w:rsidRPr="001A513A">
        <w:rPr>
          <w:color w:val="000000" w:themeColor="text1"/>
        </w:rPr>
        <w:t xml:space="preserve"> </w:t>
      </w:r>
      <w:r w:rsidRPr="001A513A">
        <w:rPr>
          <w:color w:val="000000" w:themeColor="text1"/>
        </w:rPr>
        <w:t xml:space="preserve">in 2011, 89,675 </w:t>
      </w:r>
      <w:r w:rsidR="00C43182">
        <w:rPr>
          <w:color w:val="000000" w:themeColor="text1"/>
        </w:rPr>
        <w:t>subscribers</w:t>
      </w:r>
      <w:r w:rsidR="00C43182" w:rsidRPr="001A513A">
        <w:rPr>
          <w:color w:val="000000" w:themeColor="text1"/>
        </w:rPr>
        <w:t xml:space="preserve"> </w:t>
      </w:r>
      <w:r w:rsidRPr="001A513A">
        <w:rPr>
          <w:color w:val="000000" w:themeColor="text1"/>
        </w:rPr>
        <w:t xml:space="preserve">in 2010 and 84,617 </w:t>
      </w:r>
      <w:r w:rsidR="00C43182">
        <w:rPr>
          <w:color w:val="000000" w:themeColor="text1"/>
        </w:rPr>
        <w:t>subscribers</w:t>
      </w:r>
      <w:r w:rsidR="00C43182" w:rsidRPr="001A513A">
        <w:rPr>
          <w:color w:val="000000" w:themeColor="text1"/>
        </w:rPr>
        <w:t xml:space="preserve"> </w:t>
      </w:r>
      <w:r w:rsidRPr="001A513A">
        <w:rPr>
          <w:color w:val="000000" w:themeColor="text1"/>
        </w:rPr>
        <w:t xml:space="preserve">in 2009. </w:t>
      </w:r>
    </w:p>
    <w:p w:rsidR="006F5C9D" w:rsidRPr="001A513A" w:rsidRDefault="006F5C9D" w:rsidP="006F5C9D">
      <w:pPr>
        <w:ind w:left="284" w:right="720"/>
        <w:jc w:val="both"/>
        <w:rPr>
          <w:rFonts w:cs="Traditional Arabic"/>
          <w:b/>
          <w:bCs/>
          <w:color w:val="000000" w:themeColor="text1"/>
          <w:sz w:val="22"/>
          <w:szCs w:val="22"/>
        </w:rPr>
      </w:pPr>
    </w:p>
    <w:p w:rsidR="001A513A" w:rsidRPr="001A513A" w:rsidRDefault="001A513A" w:rsidP="005E0E1F">
      <w:pPr>
        <w:numPr>
          <w:ilvl w:val="0"/>
          <w:numId w:val="6"/>
        </w:numPr>
        <w:tabs>
          <w:tab w:val="clear" w:pos="720"/>
          <w:tab w:val="num" w:pos="284"/>
        </w:tabs>
        <w:ind w:left="284" w:right="0" w:hanging="284"/>
        <w:jc w:val="lowKashida"/>
        <w:rPr>
          <w:color w:val="000000" w:themeColor="text1"/>
        </w:rPr>
      </w:pPr>
      <w:r w:rsidRPr="001A513A">
        <w:rPr>
          <w:color w:val="000000" w:themeColor="text1"/>
        </w:rPr>
        <w:lastRenderedPageBreak/>
        <w:t>Electricity consumption in Jerusalem governorate was</w:t>
      </w:r>
      <w:r w:rsidRPr="001A513A">
        <w:rPr>
          <w:rFonts w:cs="Simplified Arabic"/>
          <w:color w:val="000000" w:themeColor="text1"/>
        </w:rPr>
        <w:t xml:space="preserve"> 470.7</w:t>
      </w:r>
      <w:r w:rsidRPr="001A513A">
        <w:rPr>
          <w:color w:val="000000" w:themeColor="text1"/>
        </w:rPr>
        <w:t xml:space="preserve"> </w:t>
      </w:r>
      <w:proofErr w:type="spellStart"/>
      <w:r w:rsidRPr="001A513A">
        <w:rPr>
          <w:color w:val="000000" w:themeColor="text1"/>
        </w:rPr>
        <w:t>GW.h</w:t>
      </w:r>
      <w:proofErr w:type="spellEnd"/>
      <w:r w:rsidRPr="001A513A">
        <w:rPr>
          <w:color w:val="000000" w:themeColor="text1"/>
        </w:rPr>
        <w:t xml:space="preserve"> in 2013 compared </w:t>
      </w:r>
      <w:r w:rsidR="002711C2">
        <w:rPr>
          <w:color w:val="000000" w:themeColor="text1"/>
        </w:rPr>
        <w:t>with</w:t>
      </w:r>
      <w:r w:rsidRPr="001A513A">
        <w:rPr>
          <w:rFonts w:cs="Simplified Arabic" w:hint="cs"/>
          <w:color w:val="000000" w:themeColor="text1"/>
          <w:rtl/>
        </w:rPr>
        <w:t xml:space="preserve">491.0 </w:t>
      </w:r>
      <w:r w:rsidRPr="001A513A">
        <w:rPr>
          <w:color w:val="000000" w:themeColor="text1"/>
        </w:rPr>
        <w:t xml:space="preserve"> </w:t>
      </w:r>
      <w:proofErr w:type="spellStart"/>
      <w:r w:rsidRPr="001A513A">
        <w:rPr>
          <w:color w:val="000000" w:themeColor="text1"/>
        </w:rPr>
        <w:t>GW.h</w:t>
      </w:r>
      <w:proofErr w:type="spellEnd"/>
      <w:r w:rsidRPr="001A513A">
        <w:rPr>
          <w:color w:val="000000" w:themeColor="text1"/>
        </w:rPr>
        <w:t xml:space="preserve"> in 2012, </w:t>
      </w:r>
      <w:r w:rsidRPr="001A513A">
        <w:rPr>
          <w:rFonts w:hint="cs"/>
          <w:color w:val="000000" w:themeColor="text1"/>
          <w:rtl/>
        </w:rPr>
        <w:t>427.6</w:t>
      </w:r>
      <w:r w:rsidRPr="001A513A">
        <w:rPr>
          <w:rFonts w:cs="Simplified Arabic" w:hint="cs"/>
          <w:color w:val="000000" w:themeColor="text1"/>
          <w:rtl/>
        </w:rPr>
        <w:t xml:space="preserve"> </w:t>
      </w:r>
      <w:r w:rsidRPr="001A513A">
        <w:rPr>
          <w:color w:val="000000" w:themeColor="text1"/>
        </w:rPr>
        <w:t xml:space="preserve"> </w:t>
      </w:r>
      <w:proofErr w:type="spellStart"/>
      <w:r w:rsidRPr="001A513A">
        <w:rPr>
          <w:color w:val="000000" w:themeColor="text1"/>
        </w:rPr>
        <w:t>GW.h</w:t>
      </w:r>
      <w:proofErr w:type="spellEnd"/>
      <w:r w:rsidRPr="001A513A">
        <w:rPr>
          <w:color w:val="000000" w:themeColor="text1"/>
        </w:rPr>
        <w:t xml:space="preserve"> in 2011, 422.4 </w:t>
      </w:r>
      <w:proofErr w:type="spellStart"/>
      <w:r w:rsidRPr="001A513A">
        <w:rPr>
          <w:color w:val="000000" w:themeColor="text1"/>
        </w:rPr>
        <w:t>GW.h</w:t>
      </w:r>
      <w:proofErr w:type="spellEnd"/>
      <w:r w:rsidRPr="001A513A">
        <w:rPr>
          <w:color w:val="000000" w:themeColor="text1"/>
        </w:rPr>
        <w:t xml:space="preserve"> in 2010 and 410.2 </w:t>
      </w:r>
      <w:proofErr w:type="spellStart"/>
      <w:r w:rsidRPr="001A513A">
        <w:rPr>
          <w:color w:val="000000" w:themeColor="text1"/>
        </w:rPr>
        <w:t>GW.h</w:t>
      </w:r>
      <w:proofErr w:type="spellEnd"/>
      <w:r w:rsidRPr="001A513A">
        <w:rPr>
          <w:color w:val="000000" w:themeColor="text1"/>
        </w:rPr>
        <w:t xml:space="preserve"> in 2009.</w:t>
      </w:r>
    </w:p>
    <w:p w:rsidR="002D5E37" w:rsidRPr="00223624" w:rsidRDefault="002D5E37" w:rsidP="005E0E1F">
      <w:pPr>
        <w:jc w:val="lowKashida"/>
        <w:rPr>
          <w:color w:val="FF0000"/>
        </w:rPr>
      </w:pPr>
    </w:p>
    <w:p w:rsidR="00C77538" w:rsidRPr="003C2326" w:rsidRDefault="00C77538" w:rsidP="00FA397A">
      <w:pPr>
        <w:jc w:val="lowKashida"/>
        <w:rPr>
          <w:b/>
          <w:bCs/>
          <w:color w:val="000000" w:themeColor="text1"/>
        </w:rPr>
      </w:pPr>
      <w:r w:rsidRPr="003C2326">
        <w:rPr>
          <w:b/>
          <w:bCs/>
          <w:color w:val="000000" w:themeColor="text1"/>
        </w:rPr>
        <w:t xml:space="preserve">3.   Solid Waste and Wastewater Services </w:t>
      </w:r>
    </w:p>
    <w:p w:rsidR="000B7C15" w:rsidRPr="003C2326" w:rsidRDefault="000B7C15" w:rsidP="00FA397A">
      <w:pPr>
        <w:pStyle w:val="BodyText2"/>
        <w:numPr>
          <w:ilvl w:val="0"/>
          <w:numId w:val="5"/>
        </w:numPr>
        <w:tabs>
          <w:tab w:val="clear" w:pos="720"/>
          <w:tab w:val="num" w:pos="284"/>
        </w:tabs>
        <w:bidi w:val="0"/>
        <w:ind w:left="284" w:right="0" w:hanging="284"/>
        <w:rPr>
          <w:color w:val="000000" w:themeColor="text1"/>
        </w:rPr>
      </w:pPr>
      <w:r w:rsidRPr="003C2326">
        <w:rPr>
          <w:color w:val="000000" w:themeColor="text1"/>
        </w:rPr>
        <w:t xml:space="preserve">In 2013, 24.5% of households in Jerusalem </w:t>
      </w:r>
      <w:r w:rsidR="002711C2">
        <w:rPr>
          <w:color w:val="000000" w:themeColor="text1"/>
        </w:rPr>
        <w:t>g</w:t>
      </w:r>
      <w:r w:rsidRPr="003C2326">
        <w:rPr>
          <w:color w:val="000000" w:themeColor="text1"/>
        </w:rPr>
        <w:t>overnorate transferred solid waste to a place for disposal run by the local authorities. UNRWA was responsible for transferring the waste collected from 6.9% of households in Jerusalem governorate.</w:t>
      </w:r>
    </w:p>
    <w:p w:rsidR="000B7C15" w:rsidRPr="003C2326" w:rsidRDefault="000B7C15" w:rsidP="00FA397A">
      <w:pPr>
        <w:pStyle w:val="BodyText2"/>
        <w:bidi w:val="0"/>
        <w:ind w:left="284"/>
        <w:rPr>
          <w:color w:val="000000" w:themeColor="text1"/>
        </w:rPr>
      </w:pPr>
    </w:p>
    <w:p w:rsidR="000B7C15" w:rsidRPr="003C2326" w:rsidRDefault="000B7C15" w:rsidP="00FA397A">
      <w:pPr>
        <w:pStyle w:val="BodyText2"/>
        <w:numPr>
          <w:ilvl w:val="0"/>
          <w:numId w:val="5"/>
        </w:numPr>
        <w:tabs>
          <w:tab w:val="clear" w:pos="720"/>
          <w:tab w:val="num" w:pos="284"/>
        </w:tabs>
        <w:bidi w:val="0"/>
        <w:ind w:left="284" w:right="0" w:hanging="284"/>
        <w:rPr>
          <w:color w:val="000000" w:themeColor="text1"/>
        </w:rPr>
      </w:pPr>
      <w:r w:rsidRPr="003C2326">
        <w:rPr>
          <w:color w:val="000000" w:themeColor="text1"/>
        </w:rPr>
        <w:t>In 2013, 2.3% of economic establishments in Jerusalem governorate disposed of their solid waste themselves</w:t>
      </w:r>
      <w:r w:rsidR="002711C2">
        <w:rPr>
          <w:color w:val="000000" w:themeColor="text1"/>
        </w:rPr>
        <w:t>,</w:t>
      </w:r>
      <w:r w:rsidRPr="003C2326">
        <w:rPr>
          <w:color w:val="000000" w:themeColor="text1"/>
        </w:rPr>
        <w:t xml:space="preserve"> 58.</w:t>
      </w:r>
      <w:r w:rsidR="00807D9A">
        <w:rPr>
          <w:color w:val="000000" w:themeColor="text1"/>
        </w:rPr>
        <w:t>8</w:t>
      </w:r>
      <w:r w:rsidRPr="003C2326">
        <w:rPr>
          <w:color w:val="000000" w:themeColor="text1"/>
        </w:rPr>
        <w:t xml:space="preserve">% were served by local authority disposal services, 32.9% were served by </w:t>
      </w:r>
      <w:r w:rsidR="002711C2">
        <w:rPr>
          <w:color w:val="000000" w:themeColor="text1"/>
        </w:rPr>
        <w:t xml:space="preserve">the </w:t>
      </w:r>
      <w:r w:rsidR="0020282F">
        <w:rPr>
          <w:color w:val="000000" w:themeColor="text1"/>
        </w:rPr>
        <w:t>Israeli</w:t>
      </w:r>
      <w:r w:rsidRPr="003C2326">
        <w:rPr>
          <w:color w:val="000000" w:themeColor="text1"/>
        </w:rPr>
        <w:t xml:space="preserve"> </w:t>
      </w:r>
      <w:r w:rsidR="002711C2">
        <w:rPr>
          <w:color w:val="000000" w:themeColor="text1"/>
        </w:rPr>
        <w:t>m</w:t>
      </w:r>
      <w:r w:rsidRPr="003C2326">
        <w:rPr>
          <w:color w:val="000000" w:themeColor="text1"/>
        </w:rPr>
        <w:t>unicipality</w:t>
      </w:r>
      <w:r w:rsidR="0020282F">
        <w:rPr>
          <w:color w:val="000000" w:themeColor="text1"/>
        </w:rPr>
        <w:t xml:space="preserve"> in </w:t>
      </w:r>
      <w:r w:rsidR="0020282F" w:rsidRPr="003C2326">
        <w:rPr>
          <w:color w:val="000000" w:themeColor="text1"/>
        </w:rPr>
        <w:t>Jerusalem</w:t>
      </w:r>
      <w:r w:rsidR="001D7F12">
        <w:rPr>
          <w:color w:val="000000" w:themeColor="text1"/>
        </w:rPr>
        <w:t xml:space="preserve"> </w:t>
      </w:r>
      <w:r w:rsidR="00E25737">
        <w:rPr>
          <w:color w:val="000000" w:themeColor="text1"/>
        </w:rPr>
        <w:t>and</w:t>
      </w:r>
      <w:r w:rsidR="001D7F12">
        <w:rPr>
          <w:color w:val="000000" w:themeColor="text1"/>
        </w:rPr>
        <w:t xml:space="preserve"> 6.0% were served by UNRWA</w:t>
      </w:r>
      <w:r w:rsidRPr="003C2326">
        <w:rPr>
          <w:color w:val="000000" w:themeColor="text1"/>
        </w:rPr>
        <w:t xml:space="preserve">. </w:t>
      </w:r>
    </w:p>
    <w:p w:rsidR="000B7C15" w:rsidRPr="003C2326" w:rsidRDefault="000B7C15" w:rsidP="00FA397A">
      <w:pPr>
        <w:pStyle w:val="BodyText2"/>
        <w:bidi w:val="0"/>
        <w:ind w:left="284"/>
        <w:rPr>
          <w:color w:val="000000" w:themeColor="text1"/>
        </w:rPr>
      </w:pPr>
    </w:p>
    <w:p w:rsidR="000B7C15" w:rsidRPr="003C2326" w:rsidRDefault="000B7C15" w:rsidP="00FA397A">
      <w:pPr>
        <w:pStyle w:val="BodyText2"/>
        <w:numPr>
          <w:ilvl w:val="0"/>
          <w:numId w:val="5"/>
        </w:numPr>
        <w:tabs>
          <w:tab w:val="clear" w:pos="720"/>
          <w:tab w:val="num" w:pos="284"/>
        </w:tabs>
        <w:bidi w:val="0"/>
        <w:ind w:left="284" w:right="0" w:hanging="284"/>
        <w:rPr>
          <w:color w:val="000000" w:themeColor="text1"/>
        </w:rPr>
      </w:pPr>
      <w:r w:rsidRPr="003C2326">
        <w:rPr>
          <w:color w:val="000000" w:themeColor="text1"/>
        </w:rPr>
        <w:t xml:space="preserve">In 2013, 71.5% of households in Jerusalem governorate disposed of wastewater through the </w:t>
      </w:r>
      <w:r w:rsidR="0020282F" w:rsidRPr="003C2326">
        <w:rPr>
          <w:color w:val="000000" w:themeColor="text1"/>
        </w:rPr>
        <w:t xml:space="preserve">wastewater </w:t>
      </w:r>
      <w:r w:rsidRPr="003C2326">
        <w:rPr>
          <w:color w:val="000000" w:themeColor="text1"/>
        </w:rPr>
        <w:t>network</w:t>
      </w:r>
      <w:r w:rsidR="002711C2">
        <w:rPr>
          <w:color w:val="000000" w:themeColor="text1"/>
        </w:rPr>
        <w:t>,</w:t>
      </w:r>
      <w:r w:rsidRPr="003C2326">
        <w:rPr>
          <w:color w:val="000000" w:themeColor="text1"/>
        </w:rPr>
        <w:t xml:space="preserve"> while 23.5% used a porous cesspit.</w:t>
      </w:r>
    </w:p>
    <w:p w:rsidR="000B7C15" w:rsidRPr="003C2326" w:rsidRDefault="000B7C15" w:rsidP="00FA397A">
      <w:pPr>
        <w:pStyle w:val="ListParagraph"/>
        <w:jc w:val="lowKashida"/>
        <w:rPr>
          <w:color w:val="000000" w:themeColor="text1"/>
        </w:rPr>
      </w:pPr>
    </w:p>
    <w:p w:rsidR="000B7C15" w:rsidRPr="003C2326" w:rsidRDefault="000B7C15" w:rsidP="00FA397A">
      <w:pPr>
        <w:pStyle w:val="BodyText3"/>
        <w:numPr>
          <w:ilvl w:val="0"/>
          <w:numId w:val="5"/>
        </w:numPr>
        <w:tabs>
          <w:tab w:val="clear" w:pos="720"/>
          <w:tab w:val="num" w:pos="284"/>
        </w:tabs>
        <w:ind w:left="284" w:right="0" w:hanging="284"/>
        <w:jc w:val="lowKashida"/>
        <w:rPr>
          <w:color w:val="000000" w:themeColor="text1"/>
        </w:rPr>
      </w:pPr>
      <w:r w:rsidRPr="003C2326">
        <w:rPr>
          <w:color w:val="000000" w:themeColor="text1"/>
        </w:rPr>
        <w:t>79.6% of economic establishments in Jerusalem governorate used the wastewater network to dispose of their wastewater and 9.6% used tight cesspits.</w:t>
      </w:r>
    </w:p>
    <w:p w:rsidR="00784217" w:rsidRDefault="00784217" w:rsidP="00FA397A">
      <w:pPr>
        <w:jc w:val="lowKashida"/>
        <w:rPr>
          <w:b/>
          <w:bCs/>
          <w:color w:val="000000" w:themeColor="text1"/>
        </w:rPr>
      </w:pPr>
    </w:p>
    <w:p w:rsidR="000B7C15" w:rsidRPr="003C2326" w:rsidRDefault="000B7C15" w:rsidP="00FA397A">
      <w:pPr>
        <w:jc w:val="lowKashida"/>
        <w:rPr>
          <w:b/>
          <w:bCs/>
          <w:color w:val="000000" w:themeColor="text1"/>
          <w:rtl/>
        </w:rPr>
      </w:pPr>
      <w:r w:rsidRPr="003C2326">
        <w:rPr>
          <w:b/>
          <w:bCs/>
          <w:color w:val="000000" w:themeColor="text1"/>
        </w:rPr>
        <w:t xml:space="preserve">4.  </w:t>
      </w:r>
      <w:r w:rsidR="006158EF" w:rsidRPr="006158EF">
        <w:rPr>
          <w:b/>
          <w:bCs/>
          <w:color w:val="000000" w:themeColor="text1"/>
        </w:rPr>
        <w:t>Surrounding Environment</w:t>
      </w:r>
    </w:p>
    <w:p w:rsidR="000B7C15" w:rsidRDefault="000B7C15" w:rsidP="00FA397A">
      <w:pPr>
        <w:pStyle w:val="BodyText2"/>
        <w:numPr>
          <w:ilvl w:val="0"/>
          <w:numId w:val="5"/>
        </w:numPr>
        <w:tabs>
          <w:tab w:val="clear" w:pos="720"/>
          <w:tab w:val="num" w:pos="284"/>
        </w:tabs>
        <w:bidi w:val="0"/>
        <w:ind w:left="284" w:right="0" w:hanging="284"/>
        <w:rPr>
          <w:b/>
          <w:bCs/>
          <w:color w:val="000000" w:themeColor="text1"/>
        </w:rPr>
      </w:pPr>
      <w:r w:rsidRPr="003C2326">
        <w:rPr>
          <w:color w:val="000000" w:themeColor="text1"/>
        </w:rPr>
        <w:t>In 2013, 5.6% of households in Jerusalem governorate were exposed to noise very often, while 5.3% were exposed to smell</w:t>
      </w:r>
      <w:r w:rsidR="002711C2">
        <w:rPr>
          <w:color w:val="000000" w:themeColor="text1"/>
        </w:rPr>
        <w:t>s</w:t>
      </w:r>
      <w:r w:rsidRPr="003C2326">
        <w:rPr>
          <w:color w:val="000000" w:themeColor="text1"/>
        </w:rPr>
        <w:t>, dust and smoke.</w:t>
      </w:r>
    </w:p>
    <w:p w:rsidR="00D91E82" w:rsidRPr="003C2326" w:rsidRDefault="00D91E82" w:rsidP="00D91E82">
      <w:pPr>
        <w:pStyle w:val="BodyText2"/>
        <w:bidi w:val="0"/>
        <w:ind w:left="284" w:right="720"/>
        <w:rPr>
          <w:b/>
          <w:bCs/>
          <w:color w:val="000000" w:themeColor="text1"/>
        </w:rPr>
      </w:pPr>
    </w:p>
    <w:p w:rsidR="00912129" w:rsidRDefault="002F57CD" w:rsidP="00F30BBE">
      <w:pPr>
        <w:pStyle w:val="BodyTextIndent"/>
        <w:tabs>
          <w:tab w:val="num" w:pos="0"/>
        </w:tabs>
        <w:bidi w:val="0"/>
        <w:ind w:firstLine="0"/>
        <w:jc w:val="both"/>
        <w:rPr>
          <w:b/>
          <w:bCs/>
          <w:color w:val="000000" w:themeColor="text1"/>
        </w:rPr>
      </w:pPr>
      <w:r w:rsidRPr="003C2326">
        <w:rPr>
          <w:b/>
          <w:bCs/>
          <w:color w:val="000000" w:themeColor="text1"/>
        </w:rPr>
        <w:t>Population</w:t>
      </w:r>
    </w:p>
    <w:p w:rsidR="006F5C9D" w:rsidRDefault="006F5C9D" w:rsidP="006F5C9D">
      <w:pPr>
        <w:pStyle w:val="BodyTextIndent"/>
        <w:tabs>
          <w:tab w:val="num" w:pos="0"/>
        </w:tabs>
        <w:bidi w:val="0"/>
        <w:ind w:firstLine="0"/>
        <w:jc w:val="both"/>
        <w:rPr>
          <w:b/>
          <w:bCs/>
          <w:color w:val="000000" w:themeColor="text1"/>
        </w:rPr>
      </w:pPr>
    </w:p>
    <w:p w:rsidR="006F5C9D" w:rsidRPr="003C2326" w:rsidRDefault="000B651A" w:rsidP="006F5C9D">
      <w:pPr>
        <w:pStyle w:val="BodyTextIndent"/>
        <w:tabs>
          <w:tab w:val="num" w:pos="0"/>
        </w:tabs>
        <w:bidi w:val="0"/>
        <w:ind w:firstLine="0"/>
        <w:jc w:val="center"/>
        <w:rPr>
          <w:b/>
          <w:bCs/>
          <w:color w:val="000000" w:themeColor="text1"/>
        </w:rPr>
      </w:pPr>
      <w:r>
        <w:rPr>
          <w:b/>
          <w:bCs/>
          <w:noProof/>
          <w:color w:val="000000" w:themeColor="text1"/>
        </w:rPr>
        <w:pict>
          <v:rect id="_x0000_s1031" style="position:absolute;left:0;text-align:left;margin-left:15.85pt;margin-top:167.5pt;width:46.75pt;height:12.35pt;z-index:251666432" fillcolor="white [3212]" stroked="f">
            <w10:wrap anchorx="page"/>
          </v:rect>
        </w:pict>
      </w:r>
      <w:r w:rsidR="006F5C9D" w:rsidRPr="006F5C9D">
        <w:rPr>
          <w:b/>
          <w:bCs/>
          <w:noProof/>
          <w:color w:val="000000" w:themeColor="text1"/>
        </w:rPr>
        <w:drawing>
          <wp:inline distT="0" distB="0" distL="0" distR="0">
            <wp:extent cx="4680585" cy="2472688"/>
            <wp:effectExtent l="0" t="0" r="5715" b="0"/>
            <wp:docPr id="13" name="Picture 1" descr="C:\Users\yashqar\Desktop\كتاب القدس 2014\الخرائط الاحصائية والسياسية 2014\الخرائط الاحصائية\E_Quds_Estimated_Popul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2014\الخرائط الاحصائية والسياسية 2014\الخرائط الاحصائية\E_Quds_Estimated_Population.png"/>
                    <pic:cNvPicPr>
                      <a:picLocks noChangeAspect="1" noChangeArrowheads="1"/>
                    </pic:cNvPicPr>
                  </pic:nvPicPr>
                  <pic:blipFill>
                    <a:blip r:embed="rId10" cstate="print"/>
                    <a:srcRect/>
                    <a:stretch>
                      <a:fillRect/>
                    </a:stretch>
                  </pic:blipFill>
                  <pic:spPr bwMode="auto">
                    <a:xfrm>
                      <a:off x="0" y="0"/>
                      <a:ext cx="4680585" cy="2472688"/>
                    </a:xfrm>
                    <a:prstGeom prst="rect">
                      <a:avLst/>
                    </a:prstGeom>
                    <a:noFill/>
                    <a:ln w="9525">
                      <a:noFill/>
                      <a:miter lim="800000"/>
                      <a:headEnd/>
                      <a:tailEnd/>
                    </a:ln>
                  </pic:spPr>
                </pic:pic>
              </a:graphicData>
            </a:graphic>
          </wp:inline>
        </w:drawing>
      </w:r>
    </w:p>
    <w:p w:rsidR="00343CEA" w:rsidRPr="003C2326" w:rsidRDefault="00343CEA" w:rsidP="005E0E1F">
      <w:pPr>
        <w:pStyle w:val="BodyText2"/>
        <w:numPr>
          <w:ilvl w:val="0"/>
          <w:numId w:val="15"/>
        </w:numPr>
        <w:tabs>
          <w:tab w:val="left" w:pos="284"/>
        </w:tabs>
        <w:bidi w:val="0"/>
        <w:ind w:left="284" w:hanging="284"/>
        <w:rPr>
          <w:color w:val="000000" w:themeColor="text1"/>
        </w:rPr>
      </w:pPr>
      <w:r w:rsidRPr="003C2326">
        <w:rPr>
          <w:color w:val="000000" w:themeColor="text1"/>
        </w:rPr>
        <w:t xml:space="preserve">The total population of Jerusalem governorate in mid-2013 was estimated at 404,165 persons, of whom 251,043 were in Area J1 and 153,122 were in Area J2. The population in Jerusalem governorate constitutes 9.1% of the total population of Palestine and 14.9% of the population </w:t>
      </w:r>
      <w:r w:rsidR="000D6D7E">
        <w:rPr>
          <w:color w:val="000000" w:themeColor="text1"/>
        </w:rPr>
        <w:t>of</w:t>
      </w:r>
      <w:r w:rsidRPr="003C2326">
        <w:rPr>
          <w:color w:val="000000" w:themeColor="text1"/>
        </w:rPr>
        <w:t xml:space="preserve"> the West Bank. </w:t>
      </w:r>
    </w:p>
    <w:p w:rsidR="00343CEA" w:rsidRPr="003C2326" w:rsidRDefault="00343CEA" w:rsidP="005E0E1F">
      <w:pPr>
        <w:pStyle w:val="BodyText2"/>
        <w:tabs>
          <w:tab w:val="left" w:pos="284"/>
        </w:tabs>
        <w:bidi w:val="0"/>
        <w:ind w:left="284"/>
        <w:rPr>
          <w:color w:val="000000" w:themeColor="text1"/>
        </w:rPr>
      </w:pPr>
    </w:p>
    <w:p w:rsidR="00343CEA" w:rsidRPr="003C2326" w:rsidRDefault="00343CEA" w:rsidP="005E0E1F">
      <w:pPr>
        <w:pStyle w:val="BodyText2"/>
        <w:numPr>
          <w:ilvl w:val="0"/>
          <w:numId w:val="15"/>
        </w:numPr>
        <w:tabs>
          <w:tab w:val="left" w:pos="284"/>
        </w:tabs>
        <w:bidi w:val="0"/>
        <w:ind w:left="284" w:hanging="284"/>
        <w:rPr>
          <w:color w:val="000000" w:themeColor="text1"/>
        </w:rPr>
      </w:pPr>
      <w:r w:rsidRPr="003C2326">
        <w:rPr>
          <w:color w:val="000000" w:themeColor="text1"/>
        </w:rPr>
        <w:lastRenderedPageBreak/>
        <w:t xml:space="preserve">The sex ratio in Jerusalem governorate in mid-2013 was 103.5 males per hundred females (103.7 in Area J1 and 103.3 in Area J2). The sex ratio in Palestine is 103.2 males per hundred females and is the same in both the West Bank and Gaza Strip.  </w:t>
      </w:r>
    </w:p>
    <w:p w:rsidR="006F5C9D" w:rsidRDefault="006F5C9D" w:rsidP="005E0E1F">
      <w:pPr>
        <w:bidi/>
        <w:ind w:left="1"/>
        <w:jc w:val="lowKashida"/>
        <w:rPr>
          <w:color w:val="000000" w:themeColor="text1"/>
          <w:rtl/>
        </w:rPr>
      </w:pPr>
    </w:p>
    <w:p w:rsidR="006F5C9D" w:rsidRPr="003C2326" w:rsidRDefault="006F5C9D" w:rsidP="005E0E1F">
      <w:pPr>
        <w:pStyle w:val="BodyText2"/>
        <w:numPr>
          <w:ilvl w:val="0"/>
          <w:numId w:val="15"/>
        </w:numPr>
        <w:tabs>
          <w:tab w:val="left" w:pos="284"/>
        </w:tabs>
        <w:bidi w:val="0"/>
        <w:ind w:left="284" w:hanging="284"/>
        <w:rPr>
          <w:color w:val="000000" w:themeColor="text1"/>
        </w:rPr>
      </w:pPr>
      <w:r w:rsidRPr="003C2326">
        <w:rPr>
          <w:color w:val="000000" w:themeColor="text1"/>
        </w:rPr>
        <w:t xml:space="preserve">The percentage of </w:t>
      </w:r>
      <w:r w:rsidR="000433F9">
        <w:rPr>
          <w:color w:val="000000" w:themeColor="text1"/>
        </w:rPr>
        <w:t>individuals</w:t>
      </w:r>
      <w:r w:rsidRPr="003C2326">
        <w:rPr>
          <w:color w:val="000000" w:themeColor="text1"/>
        </w:rPr>
        <w:t xml:space="preserve"> aged below 15 years in 2013 was 35.2% of the total population, while those aged 60 years and above made up 6.7% of the total population in Jerusalem governorate. </w:t>
      </w:r>
    </w:p>
    <w:p w:rsidR="006F5C9D" w:rsidRPr="006F5C9D" w:rsidRDefault="006F5C9D" w:rsidP="005E0E1F">
      <w:pPr>
        <w:bidi/>
        <w:ind w:left="1"/>
        <w:jc w:val="lowKashida"/>
        <w:rPr>
          <w:color w:val="000000" w:themeColor="text1"/>
          <w:rtl/>
        </w:rPr>
      </w:pPr>
    </w:p>
    <w:p w:rsidR="006F5C9D" w:rsidRDefault="006F5C9D" w:rsidP="005E0E1F">
      <w:pPr>
        <w:pStyle w:val="BodyText2"/>
        <w:numPr>
          <w:ilvl w:val="0"/>
          <w:numId w:val="15"/>
        </w:numPr>
        <w:tabs>
          <w:tab w:val="left" w:pos="284"/>
        </w:tabs>
        <w:bidi w:val="0"/>
        <w:ind w:left="284" w:hanging="284"/>
        <w:rPr>
          <w:color w:val="000000" w:themeColor="text1"/>
        </w:rPr>
      </w:pPr>
      <w:r w:rsidRPr="003C2326">
        <w:rPr>
          <w:color w:val="000000" w:themeColor="text1"/>
        </w:rPr>
        <w:t xml:space="preserve">Palestinian refugees comprise 25.1% of the total population of Jerusalem governorate: 21.2% in Area J1 and 31.4% in Area J2.  </w:t>
      </w:r>
    </w:p>
    <w:p w:rsidR="00584738" w:rsidRDefault="00584738" w:rsidP="00584738">
      <w:pPr>
        <w:pStyle w:val="ListParagraph"/>
        <w:rPr>
          <w:color w:val="000000" w:themeColor="text1"/>
        </w:rPr>
      </w:pPr>
    </w:p>
    <w:p w:rsidR="00584738" w:rsidRPr="00584738" w:rsidRDefault="00584738" w:rsidP="00584738">
      <w:pPr>
        <w:pStyle w:val="BodyText2"/>
        <w:numPr>
          <w:ilvl w:val="0"/>
          <w:numId w:val="15"/>
        </w:numPr>
        <w:tabs>
          <w:tab w:val="left" w:pos="284"/>
        </w:tabs>
        <w:bidi w:val="0"/>
        <w:ind w:left="284" w:hanging="284"/>
        <w:rPr>
          <w:color w:val="000000" w:themeColor="text1"/>
        </w:rPr>
      </w:pPr>
      <w:r w:rsidRPr="00584738">
        <w:rPr>
          <w:color w:val="000000" w:themeColor="text1"/>
        </w:rPr>
        <w:t xml:space="preserve">The average household size was </w:t>
      </w:r>
      <w:r w:rsidRPr="00584738">
        <w:rPr>
          <w:rFonts w:hint="cs"/>
          <w:color w:val="000000" w:themeColor="text1"/>
          <w:rtl/>
        </w:rPr>
        <w:t>3.7</w:t>
      </w:r>
      <w:r w:rsidRPr="00584738">
        <w:rPr>
          <w:color w:val="000000" w:themeColor="text1"/>
        </w:rPr>
        <w:t xml:space="preserve"> persons in 2013. </w:t>
      </w:r>
    </w:p>
    <w:p w:rsidR="006F5C9D" w:rsidRPr="006F5C9D" w:rsidRDefault="006F5C9D" w:rsidP="006F5C9D">
      <w:pPr>
        <w:bidi/>
        <w:ind w:left="1"/>
        <w:jc w:val="center"/>
        <w:rPr>
          <w:color w:val="000000" w:themeColor="text1"/>
          <w:rtl/>
        </w:rPr>
      </w:pPr>
    </w:p>
    <w:p w:rsidR="00CD65EE" w:rsidRDefault="00CD65EE" w:rsidP="009041F1">
      <w:pPr>
        <w:ind w:left="1"/>
        <w:jc w:val="center"/>
        <w:rPr>
          <w:rFonts w:ascii="Arial" w:hAnsi="Arial" w:cs="Arial"/>
          <w:b/>
          <w:bCs/>
          <w:color w:val="000000" w:themeColor="text1"/>
          <w:sz w:val="18"/>
          <w:szCs w:val="18"/>
          <w:rtl/>
        </w:rPr>
      </w:pPr>
      <w:r w:rsidRPr="003C2326">
        <w:rPr>
          <w:rFonts w:ascii="Arial" w:hAnsi="Arial" w:cs="Arial"/>
          <w:b/>
          <w:bCs/>
          <w:color w:val="000000" w:themeColor="text1"/>
          <w:sz w:val="18"/>
          <w:szCs w:val="18"/>
        </w:rPr>
        <w:t>Percentage Distribution of Palestinian Population</w:t>
      </w:r>
      <w:r w:rsidR="009041F1">
        <w:rPr>
          <w:rFonts w:ascii="Arial" w:hAnsi="Arial" w:cs="Arial"/>
          <w:b/>
          <w:bCs/>
          <w:color w:val="000000" w:themeColor="text1"/>
          <w:sz w:val="18"/>
          <w:szCs w:val="18"/>
        </w:rPr>
        <w:t xml:space="preserve"> </w:t>
      </w:r>
      <w:r w:rsidR="009041F1" w:rsidRPr="008F7FF0">
        <w:rPr>
          <w:rFonts w:ascii="Arial" w:hAnsi="Arial" w:cs="Simplified Arabic"/>
          <w:b/>
          <w:bCs/>
          <w:sz w:val="18"/>
          <w:szCs w:val="18"/>
        </w:rPr>
        <w:t xml:space="preserve">in </w:t>
      </w:r>
      <w:r w:rsidR="009041F1" w:rsidRPr="008B2D52">
        <w:rPr>
          <w:rFonts w:ascii="Arial" w:hAnsi="Arial" w:cs="Simplified Arabic"/>
          <w:b/>
          <w:bCs/>
          <w:sz w:val="18"/>
          <w:szCs w:val="18"/>
        </w:rPr>
        <w:t>Jerusalem</w:t>
      </w:r>
      <w:r w:rsidR="009041F1" w:rsidRPr="008B2D52">
        <w:rPr>
          <w:rFonts w:ascii="Arial" w:hAnsi="Arial" w:cs="Simplified Arabic" w:hint="cs"/>
          <w:b/>
          <w:bCs/>
          <w:sz w:val="18"/>
          <w:szCs w:val="18"/>
          <w:rtl/>
        </w:rPr>
        <w:t xml:space="preserve"> </w:t>
      </w:r>
      <w:r w:rsidR="009041F1" w:rsidRPr="008B2D52">
        <w:rPr>
          <w:rFonts w:ascii="Arial" w:hAnsi="Arial" w:cs="Simplified Arabic"/>
          <w:b/>
          <w:bCs/>
          <w:sz w:val="18"/>
          <w:szCs w:val="18"/>
        </w:rPr>
        <w:t>Governorate</w:t>
      </w:r>
      <w:r w:rsidRPr="003C2326">
        <w:rPr>
          <w:rFonts w:ascii="Arial" w:hAnsi="Arial" w:cs="Arial"/>
          <w:b/>
          <w:bCs/>
          <w:color w:val="000000" w:themeColor="text1"/>
          <w:sz w:val="18"/>
          <w:szCs w:val="18"/>
        </w:rPr>
        <w:t xml:space="preserve"> by Area and Age</w:t>
      </w:r>
      <w:r w:rsidRPr="003C2326">
        <w:rPr>
          <w:rFonts w:ascii="Arial" w:hAnsi="Arial" w:cs="Arial"/>
          <w:b/>
          <w:bCs/>
          <w:color w:val="000000" w:themeColor="text1"/>
          <w:sz w:val="22"/>
          <w:szCs w:val="22"/>
        </w:rPr>
        <w:t xml:space="preserve"> </w:t>
      </w:r>
      <w:r w:rsidRPr="003C2326">
        <w:rPr>
          <w:rFonts w:ascii="Arial" w:hAnsi="Arial" w:cs="Arial"/>
          <w:b/>
          <w:bCs/>
          <w:color w:val="000000" w:themeColor="text1"/>
          <w:sz w:val="18"/>
          <w:szCs w:val="18"/>
        </w:rPr>
        <w:t>Groups, 2013</w:t>
      </w:r>
    </w:p>
    <w:p w:rsidR="006F5C9D" w:rsidRPr="009041F1" w:rsidRDefault="006F5C9D" w:rsidP="006F5C9D">
      <w:pPr>
        <w:bidi/>
        <w:ind w:left="1"/>
        <w:jc w:val="center"/>
        <w:rPr>
          <w:rFonts w:ascii="Arial" w:hAnsi="Arial" w:cs="Arial"/>
          <w:b/>
          <w:bCs/>
          <w:color w:val="000000" w:themeColor="text1"/>
          <w:sz w:val="14"/>
          <w:szCs w:val="14"/>
          <w:rtl/>
        </w:rPr>
      </w:pPr>
    </w:p>
    <w:p w:rsidR="00CD65EE" w:rsidRPr="003C2326" w:rsidRDefault="00CD65EE" w:rsidP="00CD65EE">
      <w:pPr>
        <w:bidi/>
        <w:ind w:left="1"/>
        <w:jc w:val="center"/>
        <w:rPr>
          <w:color w:val="000000" w:themeColor="text1"/>
        </w:rPr>
      </w:pPr>
      <w:r w:rsidRPr="003C2326">
        <w:rPr>
          <w:rFonts w:ascii="Arial" w:hAnsi="Arial" w:cs="Arial"/>
          <w:b/>
          <w:bCs/>
          <w:noProof/>
          <w:color w:val="000000" w:themeColor="text1"/>
          <w:sz w:val="22"/>
          <w:szCs w:val="22"/>
          <w:bdr w:val="single" w:sz="4" w:space="0" w:color="auto"/>
          <w:rtl/>
        </w:rPr>
        <w:drawing>
          <wp:inline distT="0" distB="0" distL="0" distR="0">
            <wp:extent cx="4516341" cy="2377440"/>
            <wp:effectExtent l="0" t="0" r="0" b="0"/>
            <wp:docPr id="200" name="Object 20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675E3" w:rsidRPr="003C2326" w:rsidRDefault="00C675E3" w:rsidP="00C675E3">
      <w:pPr>
        <w:tabs>
          <w:tab w:val="num" w:pos="0"/>
        </w:tabs>
        <w:jc w:val="both"/>
        <w:rPr>
          <w:rFonts w:cs="Simplified Arabic"/>
          <w:color w:val="000000" w:themeColor="text1"/>
        </w:rPr>
      </w:pPr>
    </w:p>
    <w:p w:rsidR="00584738" w:rsidRPr="00584738" w:rsidRDefault="00584738" w:rsidP="00584738">
      <w:pPr>
        <w:pStyle w:val="BodyText2"/>
        <w:tabs>
          <w:tab w:val="left" w:pos="284"/>
        </w:tabs>
        <w:bidi w:val="0"/>
        <w:ind w:left="284"/>
        <w:rPr>
          <w:color w:val="000000" w:themeColor="text1"/>
          <w:sz w:val="10"/>
          <w:szCs w:val="10"/>
        </w:rPr>
      </w:pPr>
    </w:p>
    <w:p w:rsidR="002F57CD" w:rsidRPr="003C2326" w:rsidRDefault="002D09B9" w:rsidP="009041F1">
      <w:pPr>
        <w:jc w:val="lowKashida"/>
        <w:rPr>
          <w:b/>
          <w:bCs/>
          <w:color w:val="000000" w:themeColor="text1"/>
        </w:rPr>
      </w:pPr>
      <w:r w:rsidRPr="003C2326">
        <w:rPr>
          <w:b/>
          <w:bCs/>
          <w:color w:val="000000" w:themeColor="text1"/>
        </w:rPr>
        <w:t xml:space="preserve">Vital Statistics </w:t>
      </w:r>
    </w:p>
    <w:p w:rsidR="00797272" w:rsidRDefault="00797272" w:rsidP="009041F1">
      <w:pPr>
        <w:numPr>
          <w:ilvl w:val="0"/>
          <w:numId w:val="8"/>
        </w:numPr>
        <w:tabs>
          <w:tab w:val="clear" w:pos="720"/>
          <w:tab w:val="num" w:pos="284"/>
        </w:tabs>
        <w:ind w:left="284" w:right="0" w:hanging="284"/>
        <w:jc w:val="lowKashida"/>
        <w:rPr>
          <w:color w:val="000000" w:themeColor="text1"/>
        </w:rPr>
      </w:pPr>
      <w:r w:rsidRPr="003C2326">
        <w:rPr>
          <w:color w:val="000000" w:themeColor="text1"/>
        </w:rPr>
        <w:t xml:space="preserve">The number of live births registered in Jerusalem governorate with Palestinian identity </w:t>
      </w:r>
      <w:r w:rsidR="00071C85">
        <w:rPr>
          <w:color w:val="000000" w:themeColor="text1"/>
        </w:rPr>
        <w:t>was 3,355 in</w:t>
      </w:r>
      <w:r w:rsidRPr="003C2326">
        <w:rPr>
          <w:color w:val="000000" w:themeColor="text1"/>
        </w:rPr>
        <w:t xml:space="preserve"> 2009, </w:t>
      </w:r>
      <w:r w:rsidR="00071C85">
        <w:rPr>
          <w:color w:val="000000" w:themeColor="text1"/>
        </w:rPr>
        <w:t xml:space="preserve">3,439 in </w:t>
      </w:r>
      <w:r w:rsidRPr="003C2326">
        <w:rPr>
          <w:color w:val="000000" w:themeColor="text1"/>
        </w:rPr>
        <w:t xml:space="preserve">2010, </w:t>
      </w:r>
      <w:r w:rsidR="00071C85">
        <w:rPr>
          <w:color w:val="000000" w:themeColor="text1"/>
        </w:rPr>
        <w:t xml:space="preserve">3,386 in </w:t>
      </w:r>
      <w:r w:rsidRPr="003C2326">
        <w:rPr>
          <w:color w:val="000000" w:themeColor="text1"/>
        </w:rPr>
        <w:t xml:space="preserve">2011 and </w:t>
      </w:r>
      <w:r w:rsidR="00071C85">
        <w:rPr>
          <w:color w:val="000000" w:themeColor="text1"/>
        </w:rPr>
        <w:t xml:space="preserve">3,039 in </w:t>
      </w:r>
      <w:r w:rsidRPr="003C2326">
        <w:rPr>
          <w:color w:val="000000" w:themeColor="text1"/>
        </w:rPr>
        <w:t>2012.  Deaths registered for the same years were 273, 282, 277, and 251 respectively.</w:t>
      </w:r>
    </w:p>
    <w:p w:rsidR="007A2C00" w:rsidRDefault="007A2C00" w:rsidP="009041F1">
      <w:pPr>
        <w:pStyle w:val="ListParagraph"/>
        <w:jc w:val="lowKashida"/>
        <w:rPr>
          <w:color w:val="000000" w:themeColor="text1"/>
        </w:rPr>
      </w:pPr>
    </w:p>
    <w:p w:rsidR="00A465C2" w:rsidRPr="003C2326" w:rsidRDefault="00A465C2" w:rsidP="00A274D6">
      <w:pPr>
        <w:numPr>
          <w:ilvl w:val="0"/>
          <w:numId w:val="8"/>
        </w:numPr>
        <w:tabs>
          <w:tab w:val="clear" w:pos="720"/>
          <w:tab w:val="num" w:pos="284"/>
        </w:tabs>
        <w:ind w:left="284" w:right="0" w:hanging="284"/>
        <w:jc w:val="lowKashida"/>
        <w:rPr>
          <w:color w:val="000000" w:themeColor="text1"/>
        </w:rPr>
      </w:pPr>
      <w:r w:rsidRPr="003C2326">
        <w:rPr>
          <w:color w:val="000000" w:themeColor="text1"/>
        </w:rPr>
        <w:t>A total of 2,</w:t>
      </w:r>
      <w:r w:rsidR="00A274D6">
        <w:rPr>
          <w:color w:val="000000" w:themeColor="text1"/>
        </w:rPr>
        <w:t>896</w:t>
      </w:r>
      <w:r w:rsidRPr="003C2326">
        <w:rPr>
          <w:color w:val="000000" w:themeColor="text1"/>
        </w:rPr>
        <w:t xml:space="preserve"> marriage contracts were signed in </w:t>
      </w:r>
      <w:proofErr w:type="spellStart"/>
      <w:r w:rsidR="00F865CA">
        <w:rPr>
          <w:color w:val="000000" w:themeColor="text1"/>
        </w:rPr>
        <w:t>shariah</w:t>
      </w:r>
      <w:proofErr w:type="spellEnd"/>
      <w:r w:rsidRPr="003C2326">
        <w:rPr>
          <w:color w:val="000000" w:themeColor="text1"/>
        </w:rPr>
        <w:t xml:space="preserve"> courts and churches in Jerusalem governorate in </w:t>
      </w:r>
      <w:r w:rsidR="00A274D6">
        <w:rPr>
          <w:color w:val="000000" w:themeColor="text1"/>
        </w:rPr>
        <w:t>2013</w:t>
      </w:r>
      <w:r w:rsidRPr="003C2326">
        <w:rPr>
          <w:color w:val="000000" w:themeColor="text1"/>
        </w:rPr>
        <w:t xml:space="preserve">. </w:t>
      </w:r>
    </w:p>
    <w:p w:rsidR="00A465C2" w:rsidRPr="003C2326" w:rsidRDefault="00A465C2" w:rsidP="009041F1">
      <w:pPr>
        <w:jc w:val="lowKashida"/>
        <w:rPr>
          <w:color w:val="000000" w:themeColor="text1"/>
          <w:sz w:val="10"/>
          <w:szCs w:val="10"/>
        </w:rPr>
      </w:pPr>
    </w:p>
    <w:p w:rsidR="00A465C2" w:rsidRPr="003C2326" w:rsidRDefault="00A465C2" w:rsidP="00A274D6">
      <w:pPr>
        <w:numPr>
          <w:ilvl w:val="0"/>
          <w:numId w:val="8"/>
        </w:numPr>
        <w:tabs>
          <w:tab w:val="clear" w:pos="720"/>
          <w:tab w:val="num" w:pos="284"/>
        </w:tabs>
        <w:ind w:left="284" w:right="0" w:hanging="284"/>
        <w:jc w:val="lowKashida"/>
        <w:rPr>
          <w:color w:val="000000" w:themeColor="text1"/>
        </w:rPr>
      </w:pPr>
      <w:r w:rsidRPr="003C2326">
        <w:rPr>
          <w:color w:val="000000" w:themeColor="text1"/>
        </w:rPr>
        <w:t xml:space="preserve">There were </w:t>
      </w:r>
      <w:r w:rsidR="00A274D6">
        <w:rPr>
          <w:color w:val="000000" w:themeColor="text1"/>
        </w:rPr>
        <w:t>527</w:t>
      </w:r>
      <w:r w:rsidRPr="003C2326">
        <w:rPr>
          <w:color w:val="000000" w:themeColor="text1"/>
        </w:rPr>
        <w:t xml:space="preserve"> cases of divorce in </w:t>
      </w:r>
      <w:proofErr w:type="spellStart"/>
      <w:r w:rsidR="00F865CA">
        <w:rPr>
          <w:color w:val="000000" w:themeColor="text1"/>
        </w:rPr>
        <w:t>shariah</w:t>
      </w:r>
      <w:proofErr w:type="spellEnd"/>
      <w:r w:rsidR="00F865CA" w:rsidRPr="003C2326">
        <w:rPr>
          <w:color w:val="000000" w:themeColor="text1"/>
        </w:rPr>
        <w:t xml:space="preserve"> </w:t>
      </w:r>
      <w:r w:rsidRPr="003C2326">
        <w:rPr>
          <w:color w:val="000000" w:themeColor="text1"/>
        </w:rPr>
        <w:t xml:space="preserve">courts in Jerusalem governorate in </w:t>
      </w:r>
      <w:r w:rsidR="00A274D6">
        <w:rPr>
          <w:color w:val="000000" w:themeColor="text1"/>
        </w:rPr>
        <w:t>2013</w:t>
      </w:r>
      <w:r w:rsidRPr="003C2326">
        <w:rPr>
          <w:color w:val="000000" w:themeColor="text1"/>
        </w:rPr>
        <w:t xml:space="preserve">. </w:t>
      </w:r>
    </w:p>
    <w:p w:rsidR="007D456C" w:rsidRDefault="007D456C" w:rsidP="004065B2">
      <w:pPr>
        <w:ind w:right="-1"/>
        <w:jc w:val="center"/>
        <w:rPr>
          <w:rFonts w:ascii="Arial" w:hAnsi="Arial" w:cs="Arial"/>
          <w:b/>
          <w:bCs/>
          <w:color w:val="000000" w:themeColor="text1"/>
          <w:sz w:val="18"/>
          <w:szCs w:val="18"/>
        </w:rPr>
      </w:pPr>
    </w:p>
    <w:p w:rsidR="00584738" w:rsidRDefault="00584738" w:rsidP="004065B2">
      <w:pPr>
        <w:ind w:right="-1"/>
        <w:jc w:val="center"/>
        <w:rPr>
          <w:rFonts w:ascii="Arial" w:hAnsi="Arial" w:cs="Arial"/>
          <w:b/>
          <w:bCs/>
          <w:color w:val="000000" w:themeColor="text1"/>
          <w:sz w:val="18"/>
          <w:szCs w:val="18"/>
        </w:rPr>
      </w:pPr>
    </w:p>
    <w:p w:rsidR="00584738" w:rsidRDefault="00584738" w:rsidP="004065B2">
      <w:pPr>
        <w:ind w:right="-1"/>
        <w:jc w:val="center"/>
        <w:rPr>
          <w:rFonts w:ascii="Arial" w:hAnsi="Arial" w:cs="Arial"/>
          <w:b/>
          <w:bCs/>
          <w:color w:val="000000" w:themeColor="text1"/>
          <w:sz w:val="18"/>
          <w:szCs w:val="18"/>
        </w:rPr>
      </w:pPr>
    </w:p>
    <w:p w:rsidR="00584738" w:rsidRDefault="00584738" w:rsidP="004065B2">
      <w:pPr>
        <w:ind w:right="-1"/>
        <w:jc w:val="center"/>
        <w:rPr>
          <w:rFonts w:ascii="Arial" w:hAnsi="Arial" w:cs="Arial"/>
          <w:b/>
          <w:bCs/>
          <w:color w:val="000000" w:themeColor="text1"/>
          <w:sz w:val="18"/>
          <w:szCs w:val="18"/>
        </w:rPr>
      </w:pPr>
    </w:p>
    <w:p w:rsidR="00FA397A" w:rsidRDefault="00FA397A">
      <w:pPr>
        <w:overflowPunct/>
        <w:autoSpaceDE/>
        <w:autoSpaceDN/>
        <w:adjustRightInd/>
        <w:textAlignment w:val="auto"/>
        <w:rPr>
          <w:rFonts w:ascii="Arial" w:hAnsi="Arial" w:cs="Arial"/>
          <w:b/>
          <w:bCs/>
          <w:color w:val="000000" w:themeColor="text1"/>
          <w:sz w:val="18"/>
          <w:szCs w:val="18"/>
        </w:rPr>
      </w:pPr>
      <w:r>
        <w:rPr>
          <w:rFonts w:ascii="Arial" w:hAnsi="Arial" w:cs="Arial"/>
          <w:b/>
          <w:bCs/>
          <w:color w:val="000000" w:themeColor="text1"/>
          <w:sz w:val="18"/>
          <w:szCs w:val="18"/>
        </w:rPr>
        <w:br w:type="page"/>
      </w:r>
    </w:p>
    <w:p w:rsidR="00F4769E" w:rsidRPr="00C847FB" w:rsidRDefault="00F4769E" w:rsidP="00F4769E">
      <w:pPr>
        <w:ind w:right="-1"/>
        <w:jc w:val="center"/>
        <w:rPr>
          <w:rFonts w:ascii="Arial" w:hAnsi="Arial" w:cs="Arial"/>
          <w:b/>
          <w:bCs/>
          <w:color w:val="000000" w:themeColor="text1"/>
          <w:sz w:val="18"/>
          <w:szCs w:val="18"/>
        </w:rPr>
      </w:pPr>
      <w:r w:rsidRPr="00C847FB">
        <w:rPr>
          <w:rFonts w:ascii="Arial" w:hAnsi="Arial" w:cs="Arial"/>
          <w:b/>
          <w:bCs/>
          <w:color w:val="000000" w:themeColor="text1"/>
          <w:sz w:val="18"/>
          <w:szCs w:val="18"/>
        </w:rPr>
        <w:lastRenderedPageBreak/>
        <w:t xml:space="preserve">Median Age at the First Legal Marriage by Selected Governorates, </w:t>
      </w:r>
      <w:r w:rsidRPr="00C847FB">
        <w:rPr>
          <w:rFonts w:ascii="Arial" w:hAnsi="Arial" w:cs="Arial" w:hint="cs"/>
          <w:b/>
          <w:bCs/>
          <w:color w:val="000000" w:themeColor="text1"/>
          <w:sz w:val="18"/>
          <w:szCs w:val="18"/>
          <w:rtl/>
        </w:rPr>
        <w:t>2013</w:t>
      </w:r>
    </w:p>
    <w:p w:rsidR="004065B2" w:rsidRPr="004E46B5" w:rsidRDefault="00F4769E" w:rsidP="004065B2">
      <w:pPr>
        <w:pStyle w:val="Heading9"/>
        <w:ind w:left="-1"/>
        <w:jc w:val="center"/>
        <w:rPr>
          <w:color w:val="000000" w:themeColor="text1"/>
          <w:rtl/>
        </w:rPr>
      </w:pPr>
      <w:r w:rsidRPr="00F4769E">
        <w:rPr>
          <w:noProof/>
          <w:color w:val="000000" w:themeColor="text1"/>
          <w:bdr w:val="single" w:sz="4" w:space="0" w:color="auto"/>
        </w:rPr>
        <w:drawing>
          <wp:inline distT="0" distB="0" distL="0" distR="0">
            <wp:extent cx="4469642" cy="2408830"/>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065B2" w:rsidRPr="003C2326" w:rsidRDefault="004065B2" w:rsidP="000617B7">
      <w:pPr>
        <w:pStyle w:val="ListParagraph"/>
        <w:rPr>
          <w:color w:val="000000" w:themeColor="text1"/>
        </w:rPr>
      </w:pPr>
    </w:p>
    <w:p w:rsidR="001138ED" w:rsidRPr="003C2326" w:rsidRDefault="001138ED" w:rsidP="00F30BBE">
      <w:pPr>
        <w:jc w:val="both"/>
        <w:rPr>
          <w:b/>
          <w:bCs/>
          <w:color w:val="000000" w:themeColor="text1"/>
        </w:rPr>
      </w:pPr>
      <w:r w:rsidRPr="003C2326">
        <w:rPr>
          <w:b/>
          <w:bCs/>
          <w:color w:val="000000" w:themeColor="text1"/>
        </w:rPr>
        <w:t xml:space="preserve">Health </w:t>
      </w:r>
    </w:p>
    <w:p w:rsidR="00A465C2" w:rsidRPr="003C2326" w:rsidRDefault="00A465C2" w:rsidP="009041F1">
      <w:pPr>
        <w:pStyle w:val="BodyText2"/>
        <w:numPr>
          <w:ilvl w:val="0"/>
          <w:numId w:val="15"/>
        </w:numPr>
        <w:tabs>
          <w:tab w:val="left" w:pos="284"/>
        </w:tabs>
        <w:bidi w:val="0"/>
        <w:ind w:left="284" w:hanging="284"/>
        <w:rPr>
          <w:color w:val="000000" w:themeColor="text1"/>
        </w:rPr>
      </w:pPr>
      <w:r w:rsidRPr="003C2326">
        <w:rPr>
          <w:color w:val="000000" w:themeColor="text1"/>
        </w:rPr>
        <w:t>There were nine hospitals in Jerusalem governorate with 642 beds in 2012.</w:t>
      </w:r>
    </w:p>
    <w:p w:rsidR="00A465C2" w:rsidRPr="003C2326" w:rsidRDefault="00A465C2" w:rsidP="009041F1">
      <w:pPr>
        <w:pStyle w:val="BodyText2"/>
        <w:tabs>
          <w:tab w:val="left" w:pos="284"/>
        </w:tabs>
        <w:bidi w:val="0"/>
        <w:rPr>
          <w:color w:val="000000" w:themeColor="text1"/>
        </w:rPr>
      </w:pPr>
    </w:p>
    <w:p w:rsidR="00A465C2" w:rsidRPr="003C2326" w:rsidRDefault="00A465C2" w:rsidP="009041F1">
      <w:pPr>
        <w:pStyle w:val="BodyText2"/>
        <w:numPr>
          <w:ilvl w:val="0"/>
          <w:numId w:val="15"/>
        </w:numPr>
        <w:tabs>
          <w:tab w:val="left" w:pos="284"/>
        </w:tabs>
        <w:bidi w:val="0"/>
        <w:ind w:left="284" w:hanging="284"/>
        <w:rPr>
          <w:color w:val="000000" w:themeColor="text1"/>
        </w:rPr>
      </w:pPr>
      <w:r w:rsidRPr="003C2326">
        <w:rPr>
          <w:color w:val="000000" w:themeColor="text1"/>
        </w:rPr>
        <w:t xml:space="preserve">The total number of discharges from Jerusalem hospitals was 31,969 in 2012. </w:t>
      </w:r>
    </w:p>
    <w:p w:rsidR="00A465C2" w:rsidRPr="003C2326" w:rsidRDefault="00A465C2" w:rsidP="009041F1">
      <w:pPr>
        <w:pStyle w:val="BodyText2"/>
        <w:tabs>
          <w:tab w:val="left" w:pos="284"/>
        </w:tabs>
        <w:bidi w:val="0"/>
        <w:rPr>
          <w:color w:val="000000" w:themeColor="text1"/>
        </w:rPr>
      </w:pPr>
    </w:p>
    <w:p w:rsidR="00A465C2" w:rsidRPr="003C2326" w:rsidRDefault="00A465C2" w:rsidP="009041F1">
      <w:pPr>
        <w:pStyle w:val="BodyText2"/>
        <w:numPr>
          <w:ilvl w:val="0"/>
          <w:numId w:val="15"/>
        </w:numPr>
        <w:tabs>
          <w:tab w:val="left" w:pos="284"/>
        </w:tabs>
        <w:bidi w:val="0"/>
        <w:ind w:left="284" w:hanging="284"/>
        <w:rPr>
          <w:color w:val="000000" w:themeColor="text1"/>
        </w:rPr>
      </w:pPr>
      <w:r w:rsidRPr="003C2326">
        <w:rPr>
          <w:color w:val="000000" w:themeColor="text1"/>
        </w:rPr>
        <w:t xml:space="preserve">The total number of hospitalization days in Jerusalem hospitals was 151,448 in 2012. </w:t>
      </w:r>
    </w:p>
    <w:p w:rsidR="00A465C2" w:rsidRPr="003C2326" w:rsidRDefault="00A465C2" w:rsidP="009041F1">
      <w:pPr>
        <w:pStyle w:val="BodyText2"/>
        <w:tabs>
          <w:tab w:val="left" w:pos="284"/>
        </w:tabs>
        <w:bidi w:val="0"/>
        <w:rPr>
          <w:color w:val="000000" w:themeColor="text1"/>
        </w:rPr>
      </w:pPr>
    </w:p>
    <w:p w:rsidR="00A465C2" w:rsidRPr="003C2326" w:rsidRDefault="00A465C2" w:rsidP="009041F1">
      <w:pPr>
        <w:pStyle w:val="BodyText2"/>
        <w:numPr>
          <w:ilvl w:val="0"/>
          <w:numId w:val="15"/>
        </w:numPr>
        <w:tabs>
          <w:tab w:val="left" w:pos="284"/>
        </w:tabs>
        <w:bidi w:val="0"/>
        <w:ind w:left="284" w:hanging="284"/>
        <w:rPr>
          <w:color w:val="000000" w:themeColor="text1"/>
        </w:rPr>
      </w:pPr>
      <w:r w:rsidRPr="003C2326">
        <w:rPr>
          <w:color w:val="000000" w:themeColor="text1"/>
        </w:rPr>
        <w:t xml:space="preserve">The bed occupancy rate in Jerusalem hospitals was 64.6 % in 2012. </w:t>
      </w:r>
    </w:p>
    <w:p w:rsidR="00E55217" w:rsidRPr="003C2326" w:rsidRDefault="00E55217" w:rsidP="009041F1">
      <w:pPr>
        <w:pStyle w:val="ListParagraph"/>
        <w:jc w:val="lowKashida"/>
        <w:rPr>
          <w:color w:val="000000" w:themeColor="text1"/>
        </w:rPr>
      </w:pPr>
    </w:p>
    <w:p w:rsidR="00E55217" w:rsidRPr="003C2326" w:rsidRDefault="00E55217" w:rsidP="009041F1">
      <w:pPr>
        <w:pStyle w:val="BodyText2"/>
        <w:numPr>
          <w:ilvl w:val="0"/>
          <w:numId w:val="15"/>
        </w:numPr>
        <w:tabs>
          <w:tab w:val="left" w:pos="284"/>
        </w:tabs>
        <w:bidi w:val="0"/>
        <w:ind w:left="284" w:hanging="284"/>
        <w:rPr>
          <w:color w:val="000000" w:themeColor="text1"/>
        </w:rPr>
      </w:pPr>
      <w:r w:rsidRPr="003C2326">
        <w:rPr>
          <w:color w:val="000000" w:themeColor="text1"/>
        </w:rPr>
        <w:t>Around 92.4% of individuals in Jerusalem governorate reported having some kind of health insurance (97.1% in Area J1 and 84.8% in Area J2).  In J1, 95.5% reported using Israeli insurance (</w:t>
      </w:r>
      <w:proofErr w:type="spellStart"/>
      <w:r w:rsidRPr="003C2326">
        <w:rPr>
          <w:color w:val="000000" w:themeColor="text1"/>
        </w:rPr>
        <w:t>Kupat</w:t>
      </w:r>
      <w:proofErr w:type="spellEnd"/>
      <w:r w:rsidRPr="003C2326">
        <w:rPr>
          <w:color w:val="000000" w:themeColor="text1"/>
        </w:rPr>
        <w:t xml:space="preserve"> </w:t>
      </w:r>
      <w:proofErr w:type="spellStart"/>
      <w:r w:rsidRPr="003C2326">
        <w:rPr>
          <w:color w:val="000000" w:themeColor="text1"/>
        </w:rPr>
        <w:t>Holim</w:t>
      </w:r>
      <w:proofErr w:type="spellEnd"/>
      <w:r w:rsidRPr="003C2326">
        <w:rPr>
          <w:color w:val="000000" w:themeColor="text1"/>
        </w:rPr>
        <w:t xml:space="preserve">/health funds) compared </w:t>
      </w:r>
      <w:r w:rsidR="000433F9">
        <w:rPr>
          <w:color w:val="000000" w:themeColor="text1"/>
        </w:rPr>
        <w:t>with</w:t>
      </w:r>
      <w:r w:rsidRPr="003C2326">
        <w:rPr>
          <w:color w:val="000000" w:themeColor="text1"/>
        </w:rPr>
        <w:t xml:space="preserve"> 6.6% in Area J2.  </w:t>
      </w:r>
    </w:p>
    <w:p w:rsidR="00E55217" w:rsidRPr="003C2326" w:rsidRDefault="00E55217" w:rsidP="009041F1">
      <w:pPr>
        <w:pStyle w:val="BodyText2"/>
        <w:tabs>
          <w:tab w:val="left" w:pos="284"/>
        </w:tabs>
        <w:bidi w:val="0"/>
        <w:ind w:left="284"/>
        <w:rPr>
          <w:color w:val="000000" w:themeColor="text1"/>
        </w:rPr>
      </w:pPr>
    </w:p>
    <w:p w:rsidR="00E55217" w:rsidRPr="003C2326" w:rsidRDefault="00E55217" w:rsidP="009041F1">
      <w:pPr>
        <w:pStyle w:val="BodyText2"/>
        <w:numPr>
          <w:ilvl w:val="0"/>
          <w:numId w:val="15"/>
        </w:numPr>
        <w:tabs>
          <w:tab w:val="left" w:pos="284"/>
        </w:tabs>
        <w:bidi w:val="0"/>
        <w:ind w:left="284" w:hanging="284"/>
        <w:rPr>
          <w:color w:val="000000" w:themeColor="text1"/>
        </w:rPr>
      </w:pPr>
      <w:r w:rsidRPr="003C2326">
        <w:rPr>
          <w:color w:val="000000" w:themeColor="text1"/>
        </w:rPr>
        <w:t>In Jerusalem governorate, 5.6% of the population receive</w:t>
      </w:r>
      <w:r w:rsidR="000433F9">
        <w:rPr>
          <w:color w:val="000000" w:themeColor="text1"/>
        </w:rPr>
        <w:t>d</w:t>
      </w:r>
      <w:r w:rsidRPr="003C2326">
        <w:rPr>
          <w:color w:val="000000" w:themeColor="text1"/>
        </w:rPr>
        <w:t xml:space="preserve"> treatment for diabetes and 5.4% for high blood pressure.</w:t>
      </w:r>
    </w:p>
    <w:p w:rsidR="00396F32" w:rsidRDefault="00396F32" w:rsidP="009041F1">
      <w:pPr>
        <w:jc w:val="lowKashida"/>
        <w:rPr>
          <w:rFonts w:ascii="Arial" w:hAnsi="Arial" w:cs="Arial"/>
          <w:b/>
          <w:bCs/>
          <w:color w:val="000000" w:themeColor="text1"/>
          <w:sz w:val="18"/>
          <w:szCs w:val="18"/>
        </w:rPr>
      </w:pPr>
    </w:p>
    <w:p w:rsidR="008643D6" w:rsidRPr="008643D6" w:rsidRDefault="008643D6" w:rsidP="009041F1">
      <w:pPr>
        <w:jc w:val="lowKashida"/>
        <w:rPr>
          <w:b/>
          <w:bCs/>
          <w:color w:val="000000" w:themeColor="text1"/>
          <w:sz w:val="18"/>
          <w:szCs w:val="18"/>
          <w:lang w:val="en-GB"/>
        </w:rPr>
      </w:pPr>
      <w:r w:rsidRPr="008643D6">
        <w:rPr>
          <w:b/>
          <w:bCs/>
          <w:color w:val="000000" w:themeColor="text1"/>
        </w:rPr>
        <w:t>Education</w:t>
      </w:r>
      <w:r w:rsidRPr="008643D6">
        <w:rPr>
          <w:rStyle w:val="FootnoteReference"/>
          <w:b/>
          <w:bCs/>
          <w:color w:val="000000" w:themeColor="text1"/>
          <w:sz w:val="18"/>
          <w:szCs w:val="18"/>
          <w:rtl/>
        </w:rPr>
        <w:t xml:space="preserve"> </w:t>
      </w:r>
      <w:r w:rsidRPr="008643D6">
        <w:rPr>
          <w:rStyle w:val="FootnoteReference"/>
          <w:b/>
          <w:bCs/>
          <w:color w:val="000000" w:themeColor="text1"/>
          <w:sz w:val="18"/>
          <w:szCs w:val="18"/>
          <w:rtl/>
        </w:rPr>
        <w:footnoteReference w:id="1"/>
      </w:r>
    </w:p>
    <w:p w:rsidR="008643D6" w:rsidRPr="008643D6" w:rsidRDefault="008643D6" w:rsidP="009041F1">
      <w:pPr>
        <w:jc w:val="lowKashida"/>
        <w:rPr>
          <w:b/>
          <w:bCs/>
          <w:i/>
          <w:iCs/>
          <w:color w:val="000000" w:themeColor="text1"/>
          <w:lang w:val="en-GB"/>
        </w:rPr>
      </w:pPr>
    </w:p>
    <w:p w:rsidR="008643D6" w:rsidRPr="008643D6" w:rsidRDefault="008643D6" w:rsidP="009041F1">
      <w:pPr>
        <w:tabs>
          <w:tab w:val="left" w:pos="284"/>
        </w:tabs>
        <w:jc w:val="lowKashida"/>
        <w:rPr>
          <w:b/>
          <w:bCs/>
          <w:color w:val="000000" w:themeColor="text1"/>
        </w:rPr>
      </w:pPr>
      <w:r w:rsidRPr="008643D6">
        <w:rPr>
          <w:b/>
          <w:bCs/>
          <w:color w:val="000000" w:themeColor="text1"/>
        </w:rPr>
        <w:t>1.   Schools in Jerusalem Governorate 2013/2014</w:t>
      </w:r>
    </w:p>
    <w:p w:rsidR="008643D6" w:rsidRPr="008643D6" w:rsidRDefault="008643D6" w:rsidP="009041F1">
      <w:pPr>
        <w:tabs>
          <w:tab w:val="left" w:pos="284"/>
        </w:tabs>
        <w:jc w:val="lowKashida"/>
        <w:rPr>
          <w:b/>
          <w:bCs/>
          <w:color w:val="000000" w:themeColor="text1"/>
          <w:sz w:val="12"/>
          <w:szCs w:val="12"/>
        </w:rPr>
      </w:pP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There were 230 schools in total.</w:t>
      </w:r>
    </w:p>
    <w:p w:rsidR="008643D6" w:rsidRPr="008643D6" w:rsidRDefault="008643D6" w:rsidP="009041F1">
      <w:pPr>
        <w:pStyle w:val="BodyText2"/>
        <w:tabs>
          <w:tab w:val="left" w:pos="284"/>
        </w:tabs>
        <w:bidi w:val="0"/>
        <w:rPr>
          <w:color w:val="000000" w:themeColor="text1"/>
          <w:sz w:val="10"/>
          <w:szCs w:val="10"/>
        </w:rPr>
      </w:pPr>
    </w:p>
    <w:p w:rsidR="008643D6" w:rsidRPr="008643D6" w:rsidRDefault="008643D6" w:rsidP="009041F1">
      <w:pPr>
        <w:pStyle w:val="BodyText2"/>
        <w:numPr>
          <w:ilvl w:val="0"/>
          <w:numId w:val="15"/>
        </w:numPr>
        <w:tabs>
          <w:tab w:val="left" w:pos="284"/>
        </w:tabs>
        <w:bidi w:val="0"/>
        <w:ind w:left="284" w:hanging="284"/>
        <w:rPr>
          <w:rFonts w:asciiTheme="majorBidi" w:hAnsiTheme="majorBidi" w:cstheme="majorBidi"/>
          <w:color w:val="000000" w:themeColor="text1"/>
        </w:rPr>
      </w:pPr>
      <w:r w:rsidRPr="008643D6">
        <w:rPr>
          <w:rFonts w:asciiTheme="majorBidi" w:hAnsiTheme="majorBidi" w:cstheme="majorBidi"/>
          <w:color w:val="000000" w:themeColor="text1"/>
        </w:rPr>
        <w:t xml:space="preserve">There were 68,661 school </w:t>
      </w:r>
      <w:r w:rsidR="00936CE3" w:rsidRPr="008643D6">
        <w:rPr>
          <w:color w:val="000000" w:themeColor="text1"/>
        </w:rPr>
        <w:t>students</w:t>
      </w:r>
      <w:r w:rsidRPr="008643D6">
        <w:rPr>
          <w:rFonts w:asciiTheme="majorBidi" w:hAnsiTheme="majorBidi" w:cstheme="majorBidi"/>
          <w:color w:val="000000" w:themeColor="text1"/>
        </w:rPr>
        <w:t xml:space="preserve">: </w:t>
      </w:r>
      <w:r w:rsidRPr="00F34D66">
        <w:rPr>
          <w:rFonts w:asciiTheme="majorBidi" w:hAnsiTheme="majorBidi" w:cstheme="majorBidi"/>
          <w:color w:val="000000" w:themeColor="text1"/>
        </w:rPr>
        <w:t>32,969</w:t>
      </w:r>
      <w:r w:rsidRPr="008643D6">
        <w:rPr>
          <w:rFonts w:asciiTheme="majorBidi" w:hAnsiTheme="majorBidi" w:cstheme="majorBidi"/>
          <w:b/>
          <w:bCs/>
          <w:color w:val="000000" w:themeColor="text1"/>
        </w:rPr>
        <w:t xml:space="preserve"> </w:t>
      </w:r>
      <w:r w:rsidRPr="008643D6">
        <w:rPr>
          <w:rFonts w:asciiTheme="majorBidi" w:hAnsiTheme="majorBidi" w:cstheme="majorBidi"/>
          <w:color w:val="000000" w:themeColor="text1"/>
        </w:rPr>
        <w:t xml:space="preserve">males and </w:t>
      </w:r>
      <w:r w:rsidRPr="00F34D66">
        <w:rPr>
          <w:rFonts w:asciiTheme="majorBidi" w:hAnsiTheme="majorBidi" w:cstheme="majorBidi"/>
          <w:color w:val="000000" w:themeColor="text1"/>
        </w:rPr>
        <w:t>35,692</w:t>
      </w:r>
      <w:r w:rsidRPr="008643D6">
        <w:rPr>
          <w:rFonts w:asciiTheme="majorBidi" w:hAnsiTheme="majorBidi" w:cstheme="majorBidi"/>
          <w:b/>
          <w:bCs/>
          <w:color w:val="000000" w:themeColor="text1"/>
        </w:rPr>
        <w:t xml:space="preserve"> </w:t>
      </w:r>
      <w:r w:rsidRPr="008643D6">
        <w:rPr>
          <w:rFonts w:asciiTheme="majorBidi" w:hAnsiTheme="majorBidi" w:cstheme="majorBidi"/>
          <w:color w:val="000000" w:themeColor="text1"/>
        </w:rPr>
        <w:t xml:space="preserve">females. </w:t>
      </w:r>
    </w:p>
    <w:p w:rsidR="008643D6" w:rsidRPr="008643D6" w:rsidRDefault="008643D6" w:rsidP="008643D6">
      <w:pPr>
        <w:pStyle w:val="BodyText2"/>
        <w:tabs>
          <w:tab w:val="left" w:pos="284"/>
        </w:tabs>
        <w:bidi w:val="0"/>
        <w:jc w:val="both"/>
        <w:rPr>
          <w:color w:val="000000" w:themeColor="text1"/>
          <w:sz w:val="10"/>
          <w:szCs w:val="10"/>
        </w:rPr>
      </w:pP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The average number of students per teacher was 17.6 in government schools, 22.7 in UNRWA schools and 18.6 in private schools.</w:t>
      </w:r>
    </w:p>
    <w:p w:rsidR="008643D6" w:rsidRPr="008643D6" w:rsidRDefault="008643D6" w:rsidP="009041F1">
      <w:pPr>
        <w:tabs>
          <w:tab w:val="left" w:pos="284"/>
        </w:tabs>
        <w:jc w:val="lowKashida"/>
        <w:rPr>
          <w:rFonts w:cs="Simplified Arabic"/>
          <w:color w:val="000000" w:themeColor="text1"/>
          <w:sz w:val="10"/>
          <w:szCs w:val="10"/>
        </w:rPr>
      </w:pP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lastRenderedPageBreak/>
        <w:t>The average number of students per class was 23.9 in government schools, 31.5 in UNRWA schools and 24.5 in private schools.</w:t>
      </w:r>
    </w:p>
    <w:p w:rsidR="003D2BFE" w:rsidRDefault="003D2BFE" w:rsidP="009041F1">
      <w:pPr>
        <w:pStyle w:val="BodyText2"/>
        <w:tabs>
          <w:tab w:val="left" w:pos="284"/>
        </w:tabs>
        <w:bidi w:val="0"/>
        <w:rPr>
          <w:b/>
          <w:bCs/>
          <w:color w:val="000000" w:themeColor="text1"/>
        </w:rPr>
      </w:pPr>
    </w:p>
    <w:p w:rsidR="008643D6" w:rsidRPr="008643D6" w:rsidRDefault="008643D6" w:rsidP="003D2BFE">
      <w:pPr>
        <w:pStyle w:val="BodyText2"/>
        <w:tabs>
          <w:tab w:val="left" w:pos="284"/>
        </w:tabs>
        <w:bidi w:val="0"/>
        <w:rPr>
          <w:b/>
          <w:bCs/>
          <w:color w:val="000000" w:themeColor="text1"/>
        </w:rPr>
      </w:pPr>
      <w:r w:rsidRPr="008643D6">
        <w:rPr>
          <w:b/>
          <w:bCs/>
          <w:color w:val="000000" w:themeColor="text1"/>
        </w:rPr>
        <w:t>2.   Higher Education in Jerusalem Governorate 2012/2013</w:t>
      </w:r>
    </w:p>
    <w:p w:rsidR="008643D6" w:rsidRPr="008643D6" w:rsidRDefault="008643D6" w:rsidP="009041F1">
      <w:pPr>
        <w:jc w:val="lowKashida"/>
        <w:rPr>
          <w:rFonts w:cs="Simplified Arabic"/>
          <w:color w:val="000000" w:themeColor="text1"/>
          <w:sz w:val="12"/>
          <w:szCs w:val="12"/>
        </w:rPr>
      </w:pP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 xml:space="preserve">There were four universities and two intermediate colleges. </w:t>
      </w:r>
    </w:p>
    <w:p w:rsidR="008643D6" w:rsidRPr="008643D6" w:rsidRDefault="008643D6" w:rsidP="009041F1">
      <w:pPr>
        <w:pStyle w:val="BodyText2"/>
        <w:tabs>
          <w:tab w:val="left" w:pos="284"/>
        </w:tabs>
        <w:bidi w:val="0"/>
        <w:rPr>
          <w:color w:val="000000" w:themeColor="text1"/>
          <w:sz w:val="10"/>
          <w:szCs w:val="10"/>
        </w:rPr>
      </w:pP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 xml:space="preserve">There were </w:t>
      </w:r>
      <w:r w:rsidRPr="008643D6">
        <w:rPr>
          <w:rFonts w:cs="Times New Roman"/>
          <w:color w:val="000000" w:themeColor="text1"/>
        </w:rPr>
        <w:t>13,028 university students</w:t>
      </w:r>
      <w:r w:rsidRPr="008643D6">
        <w:rPr>
          <w:color w:val="000000" w:themeColor="text1"/>
        </w:rPr>
        <w:t xml:space="preserve">: </w:t>
      </w:r>
      <w:r w:rsidRPr="008643D6">
        <w:rPr>
          <w:rFonts w:cs="Times New Roman"/>
          <w:color w:val="000000" w:themeColor="text1"/>
        </w:rPr>
        <w:t>6,230</w:t>
      </w:r>
      <w:r w:rsidRPr="008643D6">
        <w:rPr>
          <w:color w:val="000000" w:themeColor="text1"/>
        </w:rPr>
        <w:t xml:space="preserve"> males and 6,798 females. </w:t>
      </w:r>
    </w:p>
    <w:p w:rsidR="008643D6" w:rsidRPr="008643D6" w:rsidRDefault="008643D6" w:rsidP="009041F1">
      <w:pPr>
        <w:pStyle w:val="BodyText2"/>
        <w:tabs>
          <w:tab w:val="left" w:pos="284"/>
        </w:tabs>
        <w:bidi w:val="0"/>
        <w:rPr>
          <w:color w:val="000000" w:themeColor="text1"/>
          <w:sz w:val="10"/>
          <w:szCs w:val="10"/>
        </w:rPr>
      </w:pP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There were 423 college students: 76 males and 347 females.</w:t>
      </w:r>
    </w:p>
    <w:p w:rsidR="00C11C69" w:rsidRPr="008643D6" w:rsidRDefault="00C11C69" w:rsidP="009041F1">
      <w:pPr>
        <w:jc w:val="lowKashida"/>
        <w:rPr>
          <w:b/>
          <w:bCs/>
          <w:color w:val="000000" w:themeColor="text1"/>
        </w:rPr>
      </w:pPr>
    </w:p>
    <w:p w:rsidR="008643D6" w:rsidRPr="008643D6" w:rsidRDefault="008643D6" w:rsidP="009041F1">
      <w:pPr>
        <w:jc w:val="lowKashida"/>
        <w:rPr>
          <w:b/>
          <w:bCs/>
          <w:i/>
          <w:iCs/>
          <w:color w:val="000000" w:themeColor="text1"/>
        </w:rPr>
      </w:pPr>
      <w:r w:rsidRPr="008643D6">
        <w:rPr>
          <w:b/>
          <w:bCs/>
          <w:color w:val="000000" w:themeColor="text1"/>
        </w:rPr>
        <w:t xml:space="preserve">Culture </w:t>
      </w: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 xml:space="preserve">In 2013, there were two theaters operating in Jerusalem governorate. </w:t>
      </w:r>
    </w:p>
    <w:p w:rsidR="008643D6" w:rsidRP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In 2013, there were 64 licensed cultural centers operating in Jerusalem governorate.</w:t>
      </w:r>
    </w:p>
    <w:p w:rsidR="008643D6" w:rsidRDefault="008643D6" w:rsidP="009041F1">
      <w:pPr>
        <w:pStyle w:val="BodyText2"/>
        <w:numPr>
          <w:ilvl w:val="0"/>
          <w:numId w:val="15"/>
        </w:numPr>
        <w:tabs>
          <w:tab w:val="left" w:pos="284"/>
        </w:tabs>
        <w:bidi w:val="0"/>
        <w:ind w:left="284" w:hanging="284"/>
        <w:rPr>
          <w:color w:val="000000" w:themeColor="text1"/>
        </w:rPr>
      </w:pPr>
      <w:r w:rsidRPr="008643D6">
        <w:rPr>
          <w:color w:val="000000" w:themeColor="text1"/>
        </w:rPr>
        <w:t xml:space="preserve">In 2013, there were no </w:t>
      </w:r>
      <w:r w:rsidR="00071C85">
        <w:rPr>
          <w:color w:val="000000" w:themeColor="text1"/>
        </w:rPr>
        <w:t xml:space="preserve">museums </w:t>
      </w:r>
      <w:r w:rsidRPr="008643D6">
        <w:rPr>
          <w:color w:val="000000" w:themeColor="text1"/>
        </w:rPr>
        <w:t>operating in Jerusalem governorate.</w:t>
      </w:r>
    </w:p>
    <w:p w:rsidR="0085552B" w:rsidRPr="0085552B" w:rsidRDefault="0085552B" w:rsidP="009041F1">
      <w:pPr>
        <w:pStyle w:val="BodyText2"/>
        <w:numPr>
          <w:ilvl w:val="0"/>
          <w:numId w:val="15"/>
        </w:numPr>
        <w:tabs>
          <w:tab w:val="left" w:pos="284"/>
        </w:tabs>
        <w:bidi w:val="0"/>
        <w:ind w:left="284" w:hanging="284"/>
        <w:rPr>
          <w:color w:val="000000" w:themeColor="text1"/>
        </w:rPr>
      </w:pPr>
      <w:r w:rsidRPr="008643D6">
        <w:rPr>
          <w:color w:val="000000" w:themeColor="text1"/>
        </w:rPr>
        <w:t>In 2013, there were</w:t>
      </w:r>
      <w:r>
        <w:rPr>
          <w:color w:val="000000" w:themeColor="text1"/>
        </w:rPr>
        <w:t xml:space="preserve"> 104</w:t>
      </w:r>
      <w:r w:rsidRPr="008643D6">
        <w:rPr>
          <w:color w:val="000000" w:themeColor="text1"/>
        </w:rPr>
        <w:t xml:space="preserve"> </w:t>
      </w:r>
      <w:r w:rsidR="00071C85">
        <w:rPr>
          <w:color w:val="000000" w:themeColor="text1"/>
        </w:rPr>
        <w:t xml:space="preserve">mosques </w:t>
      </w:r>
      <w:r w:rsidRPr="008643D6">
        <w:rPr>
          <w:color w:val="000000" w:themeColor="text1"/>
        </w:rPr>
        <w:t>operating in Jerusalem governorate.</w:t>
      </w:r>
    </w:p>
    <w:p w:rsidR="002A4A36" w:rsidRPr="0050028D" w:rsidRDefault="002A4A36" w:rsidP="009041F1">
      <w:pPr>
        <w:ind w:left="288"/>
        <w:jc w:val="lowKashida"/>
        <w:rPr>
          <w:rFonts w:cs="Traditional Arabic"/>
          <w:b/>
          <w:bCs/>
          <w:sz w:val="16"/>
          <w:szCs w:val="16"/>
        </w:rPr>
      </w:pPr>
    </w:p>
    <w:p w:rsidR="002A4A36" w:rsidRPr="003C2326" w:rsidRDefault="002A4A36" w:rsidP="009041F1">
      <w:pPr>
        <w:pStyle w:val="BodyText2"/>
        <w:tabs>
          <w:tab w:val="left" w:pos="0"/>
        </w:tabs>
        <w:bidi w:val="0"/>
        <w:rPr>
          <w:b/>
          <w:bCs/>
          <w:color w:val="000000" w:themeColor="text1"/>
        </w:rPr>
      </w:pPr>
      <w:r w:rsidRPr="003C2326">
        <w:rPr>
          <w:b/>
          <w:bCs/>
          <w:color w:val="000000" w:themeColor="text1"/>
        </w:rPr>
        <w:t xml:space="preserve">Information Society </w:t>
      </w:r>
    </w:p>
    <w:p w:rsidR="001D004B" w:rsidRPr="003C2326" w:rsidRDefault="001D004B" w:rsidP="009041F1">
      <w:pPr>
        <w:pStyle w:val="BodyText2"/>
        <w:numPr>
          <w:ilvl w:val="0"/>
          <w:numId w:val="15"/>
        </w:numPr>
        <w:tabs>
          <w:tab w:val="left" w:pos="284"/>
        </w:tabs>
        <w:bidi w:val="0"/>
        <w:ind w:left="284" w:hanging="284"/>
        <w:rPr>
          <w:color w:val="000000" w:themeColor="text1"/>
        </w:rPr>
      </w:pPr>
      <w:r w:rsidRPr="003C2326">
        <w:rPr>
          <w:color w:val="000000" w:themeColor="text1"/>
        </w:rPr>
        <w:t>Around 75.0% of individuals aged 5 years and above use a computer, 67.9% individuals aged 5 years and above use the Internet, and 70.6% own a mobile phone.</w:t>
      </w:r>
    </w:p>
    <w:p w:rsidR="001D004B" w:rsidRPr="003C2326" w:rsidRDefault="001D004B" w:rsidP="009041F1">
      <w:pPr>
        <w:pStyle w:val="BodyText2"/>
        <w:tabs>
          <w:tab w:val="left" w:pos="284"/>
        </w:tabs>
        <w:bidi w:val="0"/>
        <w:ind w:left="284"/>
        <w:rPr>
          <w:color w:val="000000" w:themeColor="text1"/>
        </w:rPr>
      </w:pPr>
    </w:p>
    <w:p w:rsidR="001D004B" w:rsidRDefault="001D004B" w:rsidP="009041F1">
      <w:pPr>
        <w:pStyle w:val="BodyText2"/>
        <w:numPr>
          <w:ilvl w:val="0"/>
          <w:numId w:val="15"/>
        </w:numPr>
        <w:tabs>
          <w:tab w:val="left" w:pos="284"/>
        </w:tabs>
        <w:bidi w:val="0"/>
        <w:ind w:left="284" w:hanging="284"/>
        <w:rPr>
          <w:color w:val="000000" w:themeColor="text1"/>
        </w:rPr>
      </w:pPr>
      <w:r w:rsidRPr="003C2326">
        <w:rPr>
          <w:color w:val="000000" w:themeColor="text1"/>
        </w:rPr>
        <w:t>In addition, 74.4% of Jerusalem households have a computer</w:t>
      </w:r>
      <w:r w:rsidR="004748F2">
        <w:rPr>
          <w:color w:val="000000" w:themeColor="text1"/>
        </w:rPr>
        <w:t>;</w:t>
      </w:r>
      <w:r w:rsidRPr="003C2326">
        <w:rPr>
          <w:color w:val="000000" w:themeColor="text1"/>
        </w:rPr>
        <w:t xml:space="preserve"> 17.4% of households in Jerusalem governorate use a Palestinian Internet service compared with 46.9% who use an Israeli Internet service; 98.8% have a satellite dish</w:t>
      </w:r>
      <w:r w:rsidR="00071C85">
        <w:rPr>
          <w:color w:val="000000" w:themeColor="text1"/>
        </w:rPr>
        <w:t>;</w:t>
      </w:r>
      <w:r w:rsidRPr="003C2326">
        <w:rPr>
          <w:color w:val="000000" w:themeColor="text1"/>
        </w:rPr>
        <w:t xml:space="preserve"> 99.6% have a television</w:t>
      </w:r>
      <w:r w:rsidR="00071C85">
        <w:rPr>
          <w:color w:val="000000" w:themeColor="text1"/>
        </w:rPr>
        <w:t>;</w:t>
      </w:r>
      <w:r w:rsidRPr="003C2326">
        <w:rPr>
          <w:color w:val="000000" w:themeColor="text1"/>
        </w:rPr>
        <w:t xml:space="preserve"> 41.3% use a mobile phone with service from a Palestinian company</w:t>
      </w:r>
      <w:r w:rsidR="004748F2">
        <w:rPr>
          <w:color w:val="000000" w:themeColor="text1"/>
        </w:rPr>
        <w:t>;</w:t>
      </w:r>
      <w:r w:rsidRPr="003C2326">
        <w:rPr>
          <w:color w:val="000000" w:themeColor="text1"/>
        </w:rPr>
        <w:t xml:space="preserve"> and 76.1% use an Israeli company for their mobile phone service.</w:t>
      </w:r>
    </w:p>
    <w:p w:rsidR="000C441C" w:rsidRDefault="000C441C" w:rsidP="000C441C">
      <w:pPr>
        <w:pStyle w:val="ListParagraph"/>
        <w:rPr>
          <w:color w:val="000000" w:themeColor="text1"/>
        </w:rPr>
      </w:pPr>
    </w:p>
    <w:p w:rsidR="000C441C" w:rsidRPr="0097326A" w:rsidRDefault="000C441C" w:rsidP="000C441C">
      <w:pPr>
        <w:pStyle w:val="Header"/>
        <w:tabs>
          <w:tab w:val="clear" w:pos="4153"/>
          <w:tab w:val="clear" w:pos="8306"/>
        </w:tabs>
        <w:jc w:val="center"/>
        <w:outlineLvl w:val="0"/>
        <w:rPr>
          <w:rFonts w:ascii="Arial" w:hAnsi="Arial" w:cs="Arial"/>
          <w:b/>
          <w:bCs/>
          <w:sz w:val="18"/>
          <w:szCs w:val="18"/>
          <w:rtl/>
          <w:lang w:val="en-GB"/>
        </w:rPr>
      </w:pPr>
      <w:r w:rsidRPr="0097326A">
        <w:rPr>
          <w:rFonts w:ascii="Arial" w:hAnsi="Arial" w:cs="Arial"/>
          <w:b/>
          <w:bCs/>
          <w:sz w:val="18"/>
          <w:szCs w:val="18"/>
        </w:rPr>
        <w:t>Percentage of Palestinian</w:t>
      </w:r>
      <w:r w:rsidR="00071C85">
        <w:rPr>
          <w:rFonts w:ascii="Arial" w:hAnsi="Arial" w:cs="Arial"/>
          <w:b/>
          <w:bCs/>
          <w:sz w:val="18"/>
          <w:szCs w:val="18"/>
        </w:rPr>
        <w:t>s</w:t>
      </w:r>
      <w:r w:rsidRPr="0097326A">
        <w:rPr>
          <w:rFonts w:ascii="Arial" w:hAnsi="Arial" w:cs="Arial"/>
          <w:b/>
          <w:bCs/>
          <w:sz w:val="18"/>
          <w:szCs w:val="18"/>
        </w:rPr>
        <w:t xml:space="preserve"> </w:t>
      </w:r>
      <w:r>
        <w:rPr>
          <w:rFonts w:ascii="Arial" w:hAnsi="Arial" w:cs="Arial"/>
          <w:b/>
          <w:bCs/>
          <w:sz w:val="18"/>
          <w:szCs w:val="18"/>
        </w:rPr>
        <w:t>(5 years and above)</w:t>
      </w:r>
      <w:r w:rsidRPr="0097326A">
        <w:rPr>
          <w:rFonts w:ascii="Arial" w:hAnsi="Arial" w:cs="Arial"/>
          <w:b/>
          <w:bCs/>
          <w:sz w:val="18"/>
          <w:szCs w:val="18"/>
        </w:rPr>
        <w:t xml:space="preserve"> in Jerusalem Governorate by </w:t>
      </w:r>
      <w:r w:rsidRPr="00E3109A">
        <w:rPr>
          <w:rFonts w:ascii="Arial" w:hAnsi="Arial" w:cs="Arial"/>
          <w:b/>
          <w:bCs/>
          <w:sz w:val="18"/>
          <w:szCs w:val="18"/>
        </w:rPr>
        <w:t>Use of ICT Tools</w:t>
      </w:r>
      <w:r w:rsidRPr="0097326A">
        <w:rPr>
          <w:rFonts w:ascii="Arial" w:hAnsi="Arial" w:cs="Arial"/>
          <w:b/>
          <w:bCs/>
          <w:sz w:val="18"/>
          <w:szCs w:val="18"/>
        </w:rPr>
        <w:t xml:space="preserve">, </w:t>
      </w:r>
      <w:r>
        <w:rPr>
          <w:rFonts w:ascii="Arial" w:hAnsi="Arial" w:cs="Arial" w:hint="cs"/>
          <w:b/>
          <w:bCs/>
          <w:sz w:val="18"/>
          <w:szCs w:val="18"/>
          <w:rtl/>
        </w:rPr>
        <w:t>2013</w:t>
      </w:r>
      <w:r w:rsidRPr="0097326A">
        <w:rPr>
          <w:rFonts w:ascii="Arial" w:hAnsi="Arial" w:cs="Arial"/>
          <w:b/>
          <w:bCs/>
          <w:sz w:val="18"/>
          <w:szCs w:val="18"/>
        </w:rPr>
        <w:t xml:space="preserve">  </w:t>
      </w:r>
    </w:p>
    <w:p w:rsidR="000C441C" w:rsidRPr="009E5BD6" w:rsidRDefault="000C441C" w:rsidP="000C441C">
      <w:pPr>
        <w:tabs>
          <w:tab w:val="left" w:pos="5867"/>
        </w:tabs>
        <w:ind w:left="1"/>
        <w:rPr>
          <w:rFonts w:cs="Simplified Arabic"/>
          <w:color w:val="000000"/>
          <w:sz w:val="8"/>
          <w:szCs w:val="8"/>
          <w:rtl/>
        </w:rPr>
      </w:pPr>
      <w:r>
        <w:rPr>
          <w:rFonts w:cs="Simplified Arabic"/>
          <w:color w:val="000000"/>
          <w:sz w:val="8"/>
          <w:szCs w:val="8"/>
          <w:rtl/>
        </w:rPr>
        <w:tab/>
      </w:r>
    </w:p>
    <w:p w:rsidR="000C441C" w:rsidRDefault="000C441C" w:rsidP="000C441C">
      <w:pPr>
        <w:ind w:left="1"/>
        <w:jc w:val="center"/>
        <w:rPr>
          <w:rFonts w:cs="Simplified Arabic"/>
          <w:sz w:val="24"/>
          <w:szCs w:val="24"/>
          <w:rtl/>
        </w:rPr>
      </w:pPr>
      <w:r w:rsidRPr="00293CA6">
        <w:rPr>
          <w:rFonts w:cs="Simplified Arabic"/>
          <w:noProof/>
          <w:sz w:val="24"/>
          <w:szCs w:val="24"/>
          <w:bdr w:val="single" w:sz="4" w:space="0" w:color="auto"/>
        </w:rPr>
        <w:drawing>
          <wp:inline distT="0" distB="0" distL="0" distR="0">
            <wp:extent cx="4756245" cy="1958454"/>
            <wp:effectExtent l="0" t="0" r="0" b="0"/>
            <wp:docPr id="3" name="Object 28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C441C" w:rsidRPr="003C2326" w:rsidRDefault="000C441C" w:rsidP="000C441C">
      <w:pPr>
        <w:pStyle w:val="BodyText2"/>
        <w:tabs>
          <w:tab w:val="left" w:pos="284"/>
        </w:tabs>
        <w:bidi w:val="0"/>
        <w:ind w:left="284"/>
        <w:jc w:val="both"/>
        <w:rPr>
          <w:color w:val="000000" w:themeColor="text1"/>
        </w:rPr>
      </w:pPr>
    </w:p>
    <w:p w:rsidR="002F57CD" w:rsidRPr="003C2326" w:rsidRDefault="002F57CD" w:rsidP="009041F1">
      <w:pPr>
        <w:jc w:val="lowKashida"/>
        <w:rPr>
          <w:b/>
          <w:bCs/>
          <w:color w:val="000000" w:themeColor="text1"/>
        </w:rPr>
      </w:pPr>
      <w:r w:rsidRPr="003C2326">
        <w:rPr>
          <w:b/>
          <w:bCs/>
          <w:color w:val="000000" w:themeColor="text1"/>
        </w:rPr>
        <w:t xml:space="preserve">Housing and Housing Conditions </w:t>
      </w:r>
    </w:p>
    <w:p w:rsidR="008D471E" w:rsidRPr="003C2326" w:rsidRDefault="000A66CB" w:rsidP="009041F1">
      <w:pPr>
        <w:pStyle w:val="BodyText2"/>
        <w:numPr>
          <w:ilvl w:val="0"/>
          <w:numId w:val="15"/>
        </w:numPr>
        <w:tabs>
          <w:tab w:val="left" w:pos="284"/>
        </w:tabs>
        <w:bidi w:val="0"/>
        <w:ind w:left="284" w:hanging="284"/>
        <w:rPr>
          <w:color w:val="000000" w:themeColor="text1"/>
        </w:rPr>
      </w:pPr>
      <w:r w:rsidRPr="003C2326">
        <w:rPr>
          <w:color w:val="000000" w:themeColor="text1"/>
        </w:rPr>
        <w:t xml:space="preserve">The average number of rooms per housing unit in Jerusalem governorate was 3.7 rooms.  </w:t>
      </w:r>
    </w:p>
    <w:p w:rsidR="008D471E" w:rsidRPr="003C2326" w:rsidRDefault="008D471E" w:rsidP="008D471E">
      <w:pPr>
        <w:pStyle w:val="BodyText2"/>
        <w:tabs>
          <w:tab w:val="left" w:pos="284"/>
        </w:tabs>
        <w:bidi w:val="0"/>
        <w:ind w:left="284"/>
        <w:jc w:val="both"/>
        <w:rPr>
          <w:color w:val="000000" w:themeColor="text1"/>
        </w:rPr>
      </w:pPr>
    </w:p>
    <w:p w:rsidR="000A66CB" w:rsidRPr="003C2326" w:rsidRDefault="000A66CB" w:rsidP="000A0ABB">
      <w:pPr>
        <w:pStyle w:val="BodyText2"/>
        <w:numPr>
          <w:ilvl w:val="0"/>
          <w:numId w:val="15"/>
        </w:numPr>
        <w:tabs>
          <w:tab w:val="left" w:pos="284"/>
        </w:tabs>
        <w:bidi w:val="0"/>
        <w:ind w:left="284" w:hanging="284"/>
        <w:jc w:val="both"/>
        <w:rPr>
          <w:color w:val="000000" w:themeColor="text1"/>
        </w:rPr>
      </w:pPr>
      <w:r w:rsidRPr="003C2326">
        <w:rPr>
          <w:color w:val="000000" w:themeColor="text1"/>
        </w:rPr>
        <w:t xml:space="preserve">The average housing density in Jerusalem governorate was 1.5 person per room. </w:t>
      </w:r>
    </w:p>
    <w:p w:rsidR="000A66CB" w:rsidRDefault="000A66CB" w:rsidP="000A66CB">
      <w:pPr>
        <w:pStyle w:val="BodyText2"/>
        <w:tabs>
          <w:tab w:val="left" w:pos="284"/>
        </w:tabs>
        <w:bidi w:val="0"/>
        <w:ind w:left="284"/>
        <w:jc w:val="both"/>
        <w:rPr>
          <w:color w:val="000000" w:themeColor="text1"/>
        </w:rPr>
      </w:pPr>
    </w:p>
    <w:p w:rsidR="00D52EF0" w:rsidRDefault="00D52EF0" w:rsidP="00D52EF0">
      <w:pPr>
        <w:pStyle w:val="BodyText2"/>
        <w:tabs>
          <w:tab w:val="left" w:pos="284"/>
        </w:tabs>
        <w:bidi w:val="0"/>
        <w:ind w:left="284"/>
        <w:jc w:val="both"/>
        <w:rPr>
          <w:color w:val="000000" w:themeColor="text1"/>
        </w:rPr>
      </w:pPr>
    </w:p>
    <w:p w:rsidR="00917CA6" w:rsidRPr="00534FDC" w:rsidRDefault="00917CA6" w:rsidP="00917CA6">
      <w:pPr>
        <w:pStyle w:val="xl42"/>
        <w:pBdr>
          <w:bottom w:val="none" w:sz="0" w:space="0" w:color="auto"/>
          <w:right w:val="none" w:sz="0" w:space="0" w:color="auto"/>
        </w:pBdr>
        <w:spacing w:before="0" w:beforeAutospacing="0" w:after="0" w:afterAutospacing="0"/>
        <w:ind w:left="-1"/>
        <w:textAlignment w:val="auto"/>
        <w:rPr>
          <w:rFonts w:ascii="Arial" w:hAnsi="Arial" w:cs="Arial"/>
          <w:rtl/>
          <w:lang w:eastAsia="en-US"/>
        </w:rPr>
      </w:pPr>
      <w:r w:rsidRPr="00AB4AC7">
        <w:rPr>
          <w:rFonts w:ascii="Arial" w:hAnsi="Arial" w:cs="Arial"/>
          <w:lang w:eastAsia="en-US"/>
        </w:rPr>
        <w:lastRenderedPageBreak/>
        <w:t xml:space="preserve">Percentage Distribution of Palestinian Households in Jerusalem Governorate by </w:t>
      </w:r>
      <w:r w:rsidRPr="00534FDC">
        <w:rPr>
          <w:rFonts w:ascii="Arial" w:hAnsi="Arial" w:cs="Arial"/>
          <w:lang w:eastAsia="en-US"/>
        </w:rPr>
        <w:t>Type of</w:t>
      </w:r>
      <w:r w:rsidRPr="00AB4AC7">
        <w:rPr>
          <w:rFonts w:ascii="Arial" w:hAnsi="Arial" w:cs="Arial"/>
          <w:lang w:eastAsia="en-US"/>
        </w:rPr>
        <w:t xml:space="preserve"> Housing Unit, 2013</w:t>
      </w:r>
    </w:p>
    <w:p w:rsidR="00917CA6" w:rsidRPr="002061F4" w:rsidRDefault="00917CA6" w:rsidP="00917CA6">
      <w:pPr>
        <w:rPr>
          <w:sz w:val="12"/>
          <w:szCs w:val="12"/>
          <w:rtl/>
        </w:rPr>
      </w:pPr>
    </w:p>
    <w:p w:rsidR="00917CA6" w:rsidRPr="00F93138" w:rsidRDefault="00917CA6" w:rsidP="00917CA6">
      <w:pPr>
        <w:jc w:val="center"/>
        <w:rPr>
          <w:rtl/>
        </w:rPr>
      </w:pPr>
      <w:r w:rsidRPr="00FA397A">
        <w:rPr>
          <w:noProof/>
          <w:rtl/>
        </w:rPr>
        <w:drawing>
          <wp:inline distT="0" distB="0" distL="0" distR="0">
            <wp:extent cx="4165600" cy="2044700"/>
            <wp:effectExtent l="19050" t="0" r="25400" b="0"/>
            <wp:docPr id="4" name="Object 36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17CA6" w:rsidRPr="003C2326" w:rsidRDefault="00917CA6" w:rsidP="00917CA6">
      <w:pPr>
        <w:pStyle w:val="BodyText2"/>
        <w:tabs>
          <w:tab w:val="left" w:pos="284"/>
        </w:tabs>
        <w:bidi w:val="0"/>
        <w:ind w:left="284"/>
        <w:jc w:val="both"/>
        <w:rPr>
          <w:color w:val="000000" w:themeColor="text1"/>
        </w:rPr>
      </w:pPr>
    </w:p>
    <w:p w:rsidR="00904866" w:rsidRPr="003C2326" w:rsidRDefault="00904866" w:rsidP="009E5087">
      <w:pPr>
        <w:jc w:val="both"/>
        <w:rPr>
          <w:b/>
          <w:bCs/>
          <w:color w:val="000000" w:themeColor="text1"/>
        </w:rPr>
      </w:pPr>
      <w:r w:rsidRPr="003C2326">
        <w:rPr>
          <w:b/>
          <w:bCs/>
          <w:color w:val="000000" w:themeColor="text1"/>
        </w:rPr>
        <w:t xml:space="preserve">Living </w:t>
      </w:r>
      <w:r w:rsidR="009E5087" w:rsidRPr="003C2326">
        <w:rPr>
          <w:b/>
          <w:bCs/>
          <w:color w:val="000000" w:themeColor="text1"/>
        </w:rPr>
        <w:t>Standards</w:t>
      </w:r>
    </w:p>
    <w:p w:rsidR="00AF5362" w:rsidRPr="003C2326" w:rsidRDefault="00AF5362" w:rsidP="009041F1">
      <w:pPr>
        <w:pStyle w:val="BodyText2"/>
        <w:numPr>
          <w:ilvl w:val="0"/>
          <w:numId w:val="15"/>
        </w:numPr>
        <w:tabs>
          <w:tab w:val="left" w:pos="284"/>
        </w:tabs>
        <w:bidi w:val="0"/>
        <w:ind w:left="284" w:hanging="284"/>
        <w:rPr>
          <w:color w:val="000000" w:themeColor="text1"/>
        </w:rPr>
      </w:pPr>
      <w:r w:rsidRPr="003C2326">
        <w:rPr>
          <w:color w:val="000000" w:themeColor="text1"/>
        </w:rPr>
        <w:t>Income from</w:t>
      </w:r>
      <w:r w:rsidRPr="003C2326">
        <w:rPr>
          <w:rFonts w:hint="cs"/>
          <w:color w:val="000000" w:themeColor="text1"/>
          <w:rtl/>
        </w:rPr>
        <w:t xml:space="preserve"> </w:t>
      </w:r>
      <w:r w:rsidRPr="003C2326">
        <w:rPr>
          <w:color w:val="000000" w:themeColor="text1"/>
        </w:rPr>
        <w:t>wages earned in the Israeli sector is the main source of household income for 40.1% of households in Jerusalem governorate (54.5% in Area J1 and 15.3% in Area J2). Income from the private sector made up 23.1% (13.1% in Area J1 and 40.3% in Area J2) and income from national insurance allowances was the main source of income for 13.6% (21.3% in Area J1 and 0.5% in Area J2). Wages from the government sector contributed 7.8% (2.2% in Area J1 and 17.5% in Area J2).</w:t>
      </w:r>
    </w:p>
    <w:p w:rsidR="00AF5362" w:rsidRPr="003C2326" w:rsidRDefault="00AF5362" w:rsidP="009041F1">
      <w:pPr>
        <w:pStyle w:val="BodyText2"/>
        <w:tabs>
          <w:tab w:val="left" w:pos="284"/>
        </w:tabs>
        <w:bidi w:val="0"/>
        <w:ind w:left="284"/>
        <w:rPr>
          <w:color w:val="000000" w:themeColor="text1"/>
        </w:rPr>
      </w:pPr>
    </w:p>
    <w:p w:rsidR="00C9620C" w:rsidRDefault="00C9620C" w:rsidP="00D52EF0">
      <w:pPr>
        <w:pStyle w:val="BodyText2"/>
        <w:numPr>
          <w:ilvl w:val="0"/>
          <w:numId w:val="15"/>
        </w:numPr>
        <w:tabs>
          <w:tab w:val="left" w:pos="284"/>
        </w:tabs>
        <w:bidi w:val="0"/>
        <w:ind w:left="284" w:hanging="284"/>
        <w:rPr>
          <w:color w:val="000000" w:themeColor="text1"/>
        </w:rPr>
      </w:pPr>
      <w:r w:rsidRPr="003C2326">
        <w:rPr>
          <w:color w:val="000000" w:themeColor="text1"/>
        </w:rPr>
        <w:t xml:space="preserve">Around 31.6% of Palestinian households in Jerusalem governorate described their standard of living as good, 64.3% described </w:t>
      </w:r>
      <w:r w:rsidR="00ED6207">
        <w:rPr>
          <w:color w:val="000000" w:themeColor="text1"/>
        </w:rPr>
        <w:t>i</w:t>
      </w:r>
      <w:r w:rsidRPr="003C2326">
        <w:rPr>
          <w:color w:val="000000" w:themeColor="text1"/>
        </w:rPr>
        <w:t xml:space="preserve">t as </w:t>
      </w:r>
      <w:r w:rsidR="00ED6207">
        <w:rPr>
          <w:color w:val="000000" w:themeColor="text1"/>
        </w:rPr>
        <w:t>f</w:t>
      </w:r>
      <w:r w:rsidR="00D52EF0">
        <w:rPr>
          <w:color w:val="000000" w:themeColor="text1"/>
        </w:rPr>
        <w:t>air</w:t>
      </w:r>
      <w:r w:rsidR="00ED6207">
        <w:rPr>
          <w:color w:val="000000" w:themeColor="text1"/>
        </w:rPr>
        <w:t>l</w:t>
      </w:r>
      <w:r w:rsidR="00D52EF0">
        <w:rPr>
          <w:color w:val="000000" w:themeColor="text1"/>
        </w:rPr>
        <w:t>y good</w:t>
      </w:r>
      <w:r w:rsidRPr="003C2326">
        <w:rPr>
          <w:color w:val="000000" w:themeColor="text1"/>
        </w:rPr>
        <w:t>, 3.7% as poor and 0.4% as very poor.</w:t>
      </w:r>
    </w:p>
    <w:p w:rsidR="00A4458B" w:rsidRDefault="00A4458B" w:rsidP="00A4458B">
      <w:pPr>
        <w:pStyle w:val="ListParagraph"/>
        <w:rPr>
          <w:color w:val="000000" w:themeColor="text1"/>
        </w:rPr>
      </w:pPr>
    </w:p>
    <w:p w:rsidR="00A4458B" w:rsidRPr="00A4458B" w:rsidRDefault="00A4458B" w:rsidP="00A4458B">
      <w:pPr>
        <w:pStyle w:val="BodyText2"/>
        <w:tabs>
          <w:tab w:val="left" w:pos="284"/>
        </w:tabs>
        <w:bidi w:val="0"/>
        <w:ind w:left="284"/>
        <w:rPr>
          <w:color w:val="000000" w:themeColor="text1"/>
          <w:sz w:val="6"/>
          <w:szCs w:val="6"/>
        </w:rPr>
      </w:pPr>
    </w:p>
    <w:p w:rsidR="009041F1" w:rsidRPr="009041F1" w:rsidRDefault="000B651A" w:rsidP="009041F1">
      <w:pPr>
        <w:pStyle w:val="ListParagraph"/>
        <w:rPr>
          <w:color w:val="000000" w:themeColor="text1"/>
          <w:sz w:val="12"/>
          <w:szCs w:val="12"/>
        </w:rPr>
      </w:pPr>
      <w:r w:rsidRPr="000B651A">
        <w:rPr>
          <w:noProof/>
          <w:color w:val="000000" w:themeColor="text1"/>
        </w:rPr>
        <w:pict>
          <v:rect id="_x0000_s1033" style="position:absolute;left:0;text-align:left;margin-left:12.85pt;margin-top:4.3pt;width:361.85pt;height:31pt;z-index:251667456;mso-position-horizontal-relative:text;mso-position-vertical-relative:text" stroked="f">
            <v:textbox>
              <w:txbxContent>
                <w:p w:rsidR="00A4458B" w:rsidRPr="007F1511" w:rsidRDefault="00A4458B" w:rsidP="00A4458B">
                  <w:pPr>
                    <w:jc w:val="center"/>
                    <w:rPr>
                      <w:b/>
                      <w:bCs/>
                      <w:sz w:val="18"/>
                      <w:szCs w:val="18"/>
                    </w:rPr>
                  </w:pPr>
                  <w:r w:rsidRPr="007F1511">
                    <w:rPr>
                      <w:rFonts w:ascii="Arial" w:hAnsi="Arial" w:cs="Arial"/>
                      <w:b/>
                      <w:bCs/>
                      <w:sz w:val="18"/>
                      <w:szCs w:val="18"/>
                    </w:rPr>
                    <w:t>Percentage Distribution of Palestinian Households in Jerusalem Governorate by Living Standard from Viewpoint of Household and Area, 2013</w:t>
                  </w:r>
                </w:p>
              </w:txbxContent>
            </v:textbox>
            <w10:wrap anchorx="page"/>
          </v:rect>
        </w:pict>
      </w:r>
    </w:p>
    <w:p w:rsidR="000C441C" w:rsidRDefault="000B651A" w:rsidP="000C441C">
      <w:pPr>
        <w:pStyle w:val="BodyText2"/>
        <w:tabs>
          <w:tab w:val="left" w:pos="284"/>
        </w:tabs>
        <w:bidi w:val="0"/>
        <w:ind w:left="284"/>
        <w:jc w:val="both"/>
        <w:rPr>
          <w:color w:val="000000" w:themeColor="text1"/>
        </w:rPr>
      </w:pPr>
      <w:r>
        <w:rPr>
          <w:noProof/>
          <w:color w:val="000000" w:themeColor="text1"/>
        </w:rPr>
        <w:pict>
          <v:rect id="_x0000_s1029" style="position:absolute;left:0;text-align:left;margin-left:34.45pt;margin-top:121.95pt;width:66.15pt;height:50.55pt;z-index:251665408" fillcolor="white [3212]" stroked="f">
            <v:textbox style="mso-next-textbox:#_x0000_s1029">
              <w:txbxContent>
                <w:p w:rsidR="00E30F21" w:rsidRDefault="00E30F21" w:rsidP="00E25018">
                  <w:pPr>
                    <w:ind w:hanging="98"/>
                    <w:rPr>
                      <w:rFonts w:asciiTheme="minorBidi" w:hAnsiTheme="minorBidi" w:cstheme="minorBidi"/>
                      <w:b/>
                      <w:bCs/>
                      <w:sz w:val="14"/>
                      <w:szCs w:val="14"/>
                    </w:rPr>
                  </w:pPr>
                  <w:r w:rsidRPr="00E25018">
                    <w:rPr>
                      <w:rFonts w:asciiTheme="minorBidi" w:hAnsiTheme="minorBidi" w:cstheme="minorBidi"/>
                      <w:b/>
                      <w:bCs/>
                      <w:sz w:val="14"/>
                      <w:szCs w:val="14"/>
                    </w:rPr>
                    <w:t>Well</w:t>
                  </w:r>
                </w:p>
                <w:p w:rsidR="00E30F21" w:rsidRPr="00E25018" w:rsidRDefault="00E30F21" w:rsidP="00E25018">
                  <w:pPr>
                    <w:ind w:hanging="98"/>
                    <w:rPr>
                      <w:rFonts w:asciiTheme="minorBidi" w:hAnsiTheme="minorBidi" w:cstheme="minorBidi"/>
                      <w:b/>
                      <w:bCs/>
                      <w:sz w:val="6"/>
                      <w:szCs w:val="6"/>
                    </w:rPr>
                  </w:pPr>
                </w:p>
                <w:p w:rsidR="00E30F21" w:rsidRDefault="00E30F21" w:rsidP="00E25018">
                  <w:pPr>
                    <w:ind w:hanging="98"/>
                    <w:rPr>
                      <w:rFonts w:asciiTheme="minorBidi" w:hAnsiTheme="minorBidi" w:cstheme="minorBidi"/>
                      <w:b/>
                      <w:bCs/>
                      <w:sz w:val="14"/>
                      <w:szCs w:val="14"/>
                    </w:rPr>
                  </w:pPr>
                  <w:r w:rsidRPr="00E25018">
                    <w:rPr>
                      <w:rFonts w:asciiTheme="minorBidi" w:hAnsiTheme="minorBidi" w:cstheme="minorBidi"/>
                      <w:b/>
                      <w:bCs/>
                      <w:sz w:val="14"/>
                      <w:szCs w:val="14"/>
                    </w:rPr>
                    <w:t>Fairly Good</w:t>
                  </w:r>
                </w:p>
                <w:p w:rsidR="00E30F21" w:rsidRPr="00E25018" w:rsidRDefault="00E30F21" w:rsidP="00E25018">
                  <w:pPr>
                    <w:ind w:hanging="98"/>
                    <w:rPr>
                      <w:rFonts w:asciiTheme="minorBidi" w:hAnsiTheme="minorBidi" w:cstheme="minorBidi"/>
                      <w:b/>
                      <w:bCs/>
                      <w:sz w:val="8"/>
                      <w:szCs w:val="8"/>
                    </w:rPr>
                  </w:pPr>
                </w:p>
                <w:p w:rsidR="00E30F21" w:rsidRDefault="00E30F21" w:rsidP="00E25018">
                  <w:pPr>
                    <w:ind w:hanging="98"/>
                    <w:rPr>
                      <w:rFonts w:asciiTheme="minorBidi" w:hAnsiTheme="minorBidi" w:cstheme="minorBidi"/>
                      <w:b/>
                      <w:bCs/>
                      <w:sz w:val="14"/>
                      <w:szCs w:val="14"/>
                    </w:rPr>
                  </w:pPr>
                  <w:r w:rsidRPr="00E25018">
                    <w:rPr>
                      <w:rFonts w:asciiTheme="minorBidi" w:hAnsiTheme="minorBidi" w:cstheme="minorBidi"/>
                      <w:b/>
                      <w:bCs/>
                      <w:sz w:val="14"/>
                      <w:szCs w:val="14"/>
                    </w:rPr>
                    <w:t>Poor</w:t>
                  </w:r>
                </w:p>
                <w:p w:rsidR="00E30F21" w:rsidRPr="00E25018" w:rsidRDefault="00E30F21" w:rsidP="00E25018">
                  <w:pPr>
                    <w:ind w:hanging="98"/>
                    <w:rPr>
                      <w:rFonts w:asciiTheme="minorBidi" w:hAnsiTheme="minorBidi" w:cstheme="minorBidi"/>
                      <w:b/>
                      <w:bCs/>
                      <w:sz w:val="8"/>
                      <w:szCs w:val="8"/>
                    </w:rPr>
                  </w:pPr>
                </w:p>
                <w:p w:rsidR="00E30F21" w:rsidRPr="00E25018" w:rsidRDefault="00E30F21" w:rsidP="00E25018">
                  <w:pPr>
                    <w:ind w:hanging="98"/>
                    <w:rPr>
                      <w:rFonts w:asciiTheme="minorBidi" w:hAnsiTheme="minorBidi" w:cstheme="minorBidi"/>
                      <w:b/>
                      <w:bCs/>
                      <w:sz w:val="14"/>
                      <w:szCs w:val="14"/>
                    </w:rPr>
                  </w:pPr>
                  <w:r w:rsidRPr="00E25018">
                    <w:rPr>
                      <w:rFonts w:asciiTheme="minorBidi" w:hAnsiTheme="minorBidi" w:cstheme="minorBidi"/>
                      <w:b/>
                      <w:bCs/>
                      <w:sz w:val="14"/>
                      <w:szCs w:val="14"/>
                    </w:rPr>
                    <w:t>Very Poor</w:t>
                  </w:r>
                </w:p>
              </w:txbxContent>
            </v:textbox>
            <w10:wrap anchorx="page"/>
          </v:rect>
        </w:pict>
      </w:r>
      <w:r w:rsidR="00F50970">
        <w:rPr>
          <w:noProof/>
          <w:color w:val="000000" w:themeColor="text1"/>
        </w:rPr>
        <w:drawing>
          <wp:inline distT="0" distB="0" distL="0" distR="0">
            <wp:extent cx="4677179" cy="2514600"/>
            <wp:effectExtent l="19050" t="0" r="9121" b="0"/>
            <wp:docPr id="12" name="Picture 2" descr="C:\Users\yashqar\Desktop\كتاب القدس 2014\الخرائط الاحصائية والسياسية 2014\الخرائط الاحصائية\E_Quds_Liv_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shqar\Desktop\كتاب القدس 2014\الخرائط الاحصائية والسياسية 2014\الخرائط الاحصائية\E_Quds_Liv_Con.png"/>
                    <pic:cNvPicPr>
                      <a:picLocks noChangeAspect="1" noChangeArrowheads="1"/>
                    </pic:cNvPicPr>
                  </pic:nvPicPr>
                  <pic:blipFill>
                    <a:blip r:embed="rId15" cstate="print"/>
                    <a:srcRect/>
                    <a:stretch>
                      <a:fillRect/>
                    </a:stretch>
                  </pic:blipFill>
                  <pic:spPr bwMode="auto">
                    <a:xfrm>
                      <a:off x="0" y="0"/>
                      <a:ext cx="4680585" cy="2516431"/>
                    </a:xfrm>
                    <a:prstGeom prst="rect">
                      <a:avLst/>
                    </a:prstGeom>
                    <a:noFill/>
                    <a:ln w="9525">
                      <a:noFill/>
                      <a:miter lim="800000"/>
                      <a:headEnd/>
                      <a:tailEnd/>
                    </a:ln>
                  </pic:spPr>
                </pic:pic>
              </a:graphicData>
            </a:graphic>
          </wp:inline>
        </w:drawing>
      </w:r>
    </w:p>
    <w:p w:rsidR="00D52EF0" w:rsidRDefault="00D52EF0" w:rsidP="00DB6345">
      <w:pPr>
        <w:ind w:left="14"/>
        <w:jc w:val="both"/>
        <w:rPr>
          <w:b/>
          <w:bCs/>
          <w:color w:val="000000" w:themeColor="text1"/>
        </w:rPr>
      </w:pPr>
    </w:p>
    <w:p w:rsidR="00DB6345" w:rsidRPr="003C2326" w:rsidRDefault="00DB6345" w:rsidP="00DB6345">
      <w:pPr>
        <w:ind w:left="14"/>
        <w:jc w:val="both"/>
        <w:rPr>
          <w:b/>
          <w:bCs/>
          <w:color w:val="000000" w:themeColor="text1"/>
        </w:rPr>
      </w:pPr>
      <w:r w:rsidRPr="003C2326">
        <w:rPr>
          <w:b/>
          <w:bCs/>
          <w:color w:val="000000" w:themeColor="text1"/>
        </w:rPr>
        <w:lastRenderedPageBreak/>
        <w:t xml:space="preserve">Security and </w:t>
      </w:r>
      <w:r w:rsidR="005443CC">
        <w:rPr>
          <w:b/>
          <w:bCs/>
          <w:color w:val="000000" w:themeColor="text1"/>
        </w:rPr>
        <w:t>J</w:t>
      </w:r>
      <w:r w:rsidRPr="003C2326">
        <w:rPr>
          <w:b/>
          <w:bCs/>
          <w:color w:val="000000" w:themeColor="text1"/>
        </w:rPr>
        <w:t>ustice</w:t>
      </w:r>
    </w:p>
    <w:p w:rsidR="00DB6345" w:rsidRDefault="00ED6207" w:rsidP="009041F1">
      <w:pPr>
        <w:numPr>
          <w:ilvl w:val="0"/>
          <w:numId w:val="39"/>
        </w:numPr>
        <w:ind w:right="0"/>
        <w:jc w:val="lowKashida"/>
        <w:rPr>
          <w:rFonts w:cs="Simplified Arabic"/>
          <w:color w:val="000000" w:themeColor="text1"/>
        </w:rPr>
      </w:pPr>
      <w:r>
        <w:rPr>
          <w:rFonts w:cs="Simplified Arabic"/>
          <w:color w:val="000000" w:themeColor="text1"/>
        </w:rPr>
        <w:t>In 2013, a</w:t>
      </w:r>
      <w:r w:rsidR="00DB6345" w:rsidRPr="003C2326">
        <w:rPr>
          <w:rFonts w:cs="Simplified Arabic"/>
          <w:color w:val="000000" w:themeColor="text1"/>
        </w:rPr>
        <w:t xml:space="preserve">round 59.4% of households in </w:t>
      </w:r>
      <w:r w:rsidR="005443CC">
        <w:rPr>
          <w:rFonts w:cs="Simplified Arabic"/>
          <w:color w:val="000000" w:themeColor="text1"/>
        </w:rPr>
        <w:t>Jerusalem</w:t>
      </w:r>
      <w:r w:rsidR="00DB6345" w:rsidRPr="003C2326">
        <w:rPr>
          <w:rFonts w:cs="Simplified Arabic"/>
          <w:color w:val="000000" w:themeColor="text1"/>
        </w:rPr>
        <w:t xml:space="preserve"> governorate</w:t>
      </w:r>
      <w:r w:rsidR="008F7850" w:rsidRPr="003C2326">
        <w:rPr>
          <w:rFonts w:cs="Simplified Arabic"/>
          <w:color w:val="000000" w:themeColor="text1"/>
        </w:rPr>
        <w:t xml:space="preserve"> </w:t>
      </w:r>
      <w:r w:rsidR="00DB6345" w:rsidRPr="003C2326">
        <w:rPr>
          <w:rFonts w:cs="Simplified Arabic"/>
          <w:color w:val="000000" w:themeColor="text1"/>
        </w:rPr>
        <w:t>believe</w:t>
      </w:r>
      <w:r>
        <w:rPr>
          <w:rFonts w:cs="Simplified Arabic"/>
          <w:color w:val="000000" w:themeColor="text1"/>
        </w:rPr>
        <w:t>d</w:t>
      </w:r>
      <w:r w:rsidR="00DB6345" w:rsidRPr="003C2326">
        <w:rPr>
          <w:rFonts w:cs="Simplified Arabic"/>
          <w:color w:val="000000" w:themeColor="text1"/>
        </w:rPr>
        <w:t xml:space="preserve"> that there are people who take drugs in their neighborhood and 4.7% of households have members who were harassed by drug addicts.</w:t>
      </w:r>
    </w:p>
    <w:p w:rsidR="00187616" w:rsidRPr="003C2326" w:rsidRDefault="00187616" w:rsidP="009041F1">
      <w:pPr>
        <w:ind w:left="360" w:right="360"/>
        <w:jc w:val="lowKashida"/>
        <w:rPr>
          <w:rFonts w:cs="Simplified Arabic"/>
          <w:color w:val="000000" w:themeColor="text1"/>
        </w:rPr>
      </w:pPr>
    </w:p>
    <w:p w:rsidR="00187616" w:rsidRDefault="00DB6345" w:rsidP="00C76EAA">
      <w:pPr>
        <w:numPr>
          <w:ilvl w:val="0"/>
          <w:numId w:val="39"/>
        </w:numPr>
        <w:ind w:right="0"/>
        <w:jc w:val="lowKashida"/>
        <w:rPr>
          <w:rFonts w:cs="Simplified Arabic"/>
          <w:color w:val="000000" w:themeColor="text1"/>
        </w:rPr>
      </w:pPr>
      <w:r w:rsidRPr="003C2326">
        <w:rPr>
          <w:rFonts w:cs="Simplified Arabic"/>
          <w:color w:val="000000" w:themeColor="text1"/>
        </w:rPr>
        <w:t xml:space="preserve"> </w:t>
      </w:r>
      <w:r w:rsidR="00ED6207">
        <w:rPr>
          <w:rFonts w:cs="Simplified Arabic"/>
          <w:color w:val="000000" w:themeColor="text1"/>
        </w:rPr>
        <w:t>In 2013, h</w:t>
      </w:r>
      <w:r w:rsidRPr="003C2326">
        <w:rPr>
          <w:rFonts w:cs="Simplified Arabic"/>
          <w:color w:val="000000" w:themeColor="text1"/>
        </w:rPr>
        <w:t>ouseholds in Jerusalem governorate</w:t>
      </w:r>
      <w:r w:rsidR="008F7850" w:rsidRPr="003C2326">
        <w:rPr>
          <w:rFonts w:cs="Simplified Arabic"/>
          <w:color w:val="000000" w:themeColor="text1"/>
        </w:rPr>
        <w:t xml:space="preserve"> </w:t>
      </w:r>
      <w:r w:rsidRPr="003C2326">
        <w:rPr>
          <w:rFonts w:cs="Simplified Arabic"/>
          <w:color w:val="000000" w:themeColor="text1"/>
        </w:rPr>
        <w:t>believe</w:t>
      </w:r>
      <w:r w:rsidR="00ED6207">
        <w:rPr>
          <w:rFonts w:cs="Simplified Arabic"/>
          <w:color w:val="000000" w:themeColor="text1"/>
        </w:rPr>
        <w:t>d</w:t>
      </w:r>
      <w:r w:rsidRPr="003C2326">
        <w:rPr>
          <w:rFonts w:cs="Simplified Arabic"/>
          <w:color w:val="000000" w:themeColor="text1"/>
        </w:rPr>
        <w:t xml:space="preserve"> that the main three reasons for drug addiction are failure by parents to control their sons (28.</w:t>
      </w:r>
      <w:r w:rsidR="00C76EAA">
        <w:rPr>
          <w:rFonts w:cs="Simplified Arabic"/>
          <w:color w:val="000000" w:themeColor="text1"/>
        </w:rPr>
        <w:t>8</w:t>
      </w:r>
      <w:r w:rsidRPr="003C2326">
        <w:rPr>
          <w:rFonts w:cs="Simplified Arabic"/>
          <w:color w:val="000000" w:themeColor="text1"/>
        </w:rPr>
        <w:t>%), economic problems (16.0%) and social problems (15.0%).</w:t>
      </w:r>
    </w:p>
    <w:p w:rsidR="00187616" w:rsidRDefault="00187616" w:rsidP="009041F1">
      <w:pPr>
        <w:pStyle w:val="ListParagraph"/>
        <w:jc w:val="lowKashida"/>
        <w:rPr>
          <w:rFonts w:cs="Simplified Arabic"/>
          <w:color w:val="000000" w:themeColor="text1"/>
        </w:rPr>
      </w:pPr>
    </w:p>
    <w:p w:rsidR="00DB6345" w:rsidRPr="003C2326" w:rsidRDefault="00DB6345" w:rsidP="009041F1">
      <w:pPr>
        <w:numPr>
          <w:ilvl w:val="0"/>
          <w:numId w:val="39"/>
        </w:numPr>
        <w:ind w:right="0"/>
        <w:jc w:val="lowKashida"/>
        <w:rPr>
          <w:rFonts w:cs="Simplified Arabic"/>
          <w:color w:val="000000" w:themeColor="text1"/>
        </w:rPr>
      </w:pPr>
      <w:r w:rsidRPr="003C2326">
        <w:rPr>
          <w:rFonts w:cs="Simplified Arabic"/>
          <w:color w:val="000000" w:themeColor="text1"/>
        </w:rPr>
        <w:t>Around 3.0% of households in Jerusalem governorate had been subjected to a criminal offense (2.9% in Area J1 and 3.1% in Area J2)</w:t>
      </w:r>
      <w:r w:rsidR="00ED6207">
        <w:rPr>
          <w:rFonts w:cs="Simplified Arabic"/>
          <w:color w:val="000000" w:themeColor="text1"/>
        </w:rPr>
        <w:t>.</w:t>
      </w:r>
      <w:r w:rsidRPr="003C2326">
        <w:rPr>
          <w:rFonts w:cs="Simplified Arabic"/>
          <w:color w:val="000000" w:themeColor="text1"/>
        </w:rPr>
        <w:t xml:space="preserve"> Compensation for physical harm was paid by the clan in 86.9% of cases, 7.3% by the victim, and insurance companies paid for 5.8%.</w:t>
      </w:r>
    </w:p>
    <w:p w:rsidR="00917CA6" w:rsidRDefault="00917CA6" w:rsidP="00CD65EE">
      <w:pPr>
        <w:pStyle w:val="ListParagraph"/>
        <w:ind w:left="360"/>
        <w:rPr>
          <w:rFonts w:ascii="Arial" w:hAnsi="Arial" w:cs="Arial"/>
          <w:b/>
          <w:bCs/>
          <w:color w:val="000000" w:themeColor="text1"/>
          <w:sz w:val="18"/>
          <w:szCs w:val="18"/>
        </w:rPr>
      </w:pPr>
    </w:p>
    <w:p w:rsidR="00E520E5" w:rsidRPr="00B20266" w:rsidRDefault="00E520E5" w:rsidP="00310F37">
      <w:pPr>
        <w:pStyle w:val="xl42"/>
        <w:pBdr>
          <w:bottom w:val="none" w:sz="0" w:space="0" w:color="auto"/>
          <w:right w:val="none" w:sz="0" w:space="0" w:color="auto"/>
        </w:pBdr>
        <w:spacing w:before="0" w:beforeAutospacing="0" w:after="0" w:afterAutospacing="0"/>
        <w:ind w:left="360" w:right="360"/>
        <w:textAlignment w:val="auto"/>
        <w:rPr>
          <w:rFonts w:ascii="Arial" w:hAnsi="Arial" w:cs="Arial"/>
          <w:lang w:eastAsia="en-US"/>
        </w:rPr>
      </w:pPr>
      <w:r w:rsidRPr="00B20266">
        <w:rPr>
          <w:rFonts w:ascii="Arial" w:hAnsi="Arial" w:cs="Arial"/>
          <w:lang w:eastAsia="en-US"/>
        </w:rPr>
        <w:t>Percentage Distribution of Palestinian Households</w:t>
      </w:r>
      <w:r>
        <w:rPr>
          <w:rFonts w:ascii="Arial" w:hAnsi="Arial" w:cs="Arial"/>
          <w:lang w:eastAsia="en-US"/>
        </w:rPr>
        <w:t xml:space="preserve"> which</w:t>
      </w:r>
      <w:r w:rsidRPr="00B20266">
        <w:rPr>
          <w:rFonts w:ascii="Arial" w:hAnsi="Arial" w:cs="Arial"/>
          <w:lang w:eastAsia="en-US"/>
        </w:rPr>
        <w:t xml:space="preserve"> Subjected to Criminal Offense During Previous 12 Months by Party </w:t>
      </w:r>
      <w:r>
        <w:rPr>
          <w:rFonts w:ascii="Arial" w:hAnsi="Arial" w:cs="Arial"/>
          <w:lang w:eastAsia="en-US"/>
        </w:rPr>
        <w:t xml:space="preserve">Carried out Burden </w:t>
      </w:r>
      <w:r w:rsidRPr="00B20266">
        <w:rPr>
          <w:rFonts w:ascii="Arial" w:hAnsi="Arial" w:cs="Arial"/>
          <w:lang w:eastAsia="en-US"/>
        </w:rPr>
        <w:t xml:space="preserve"> </w:t>
      </w:r>
      <w:r>
        <w:rPr>
          <w:rFonts w:ascii="Arial" w:hAnsi="Arial" w:cs="Arial"/>
          <w:lang w:eastAsia="en-US"/>
        </w:rPr>
        <w:t>of</w:t>
      </w:r>
      <w:r w:rsidRPr="00B20266">
        <w:rPr>
          <w:rFonts w:ascii="Arial" w:hAnsi="Arial" w:cs="Arial"/>
          <w:lang w:eastAsia="en-US"/>
        </w:rPr>
        <w:t xml:space="preserve"> </w:t>
      </w:r>
      <w:r>
        <w:rPr>
          <w:rFonts w:ascii="Arial" w:hAnsi="Arial" w:cs="Arial"/>
          <w:lang w:eastAsia="en-US"/>
        </w:rPr>
        <w:t xml:space="preserve">Material </w:t>
      </w:r>
      <w:r w:rsidRPr="00FC5057">
        <w:rPr>
          <w:rFonts w:ascii="Arial" w:hAnsi="Arial" w:cs="Arial"/>
          <w:lang w:eastAsia="en-US"/>
        </w:rPr>
        <w:t>Damage</w:t>
      </w:r>
      <w:r w:rsidRPr="00B20266">
        <w:rPr>
          <w:rFonts w:ascii="Arial" w:hAnsi="Arial" w:cs="Arial"/>
          <w:lang w:eastAsia="en-US"/>
        </w:rPr>
        <w:t>, 2013</w:t>
      </w:r>
    </w:p>
    <w:p w:rsidR="00CD65EE" w:rsidRPr="003C2326" w:rsidRDefault="00CD65EE" w:rsidP="00CD65EE">
      <w:pPr>
        <w:pStyle w:val="ListParagraph"/>
        <w:numPr>
          <w:ilvl w:val="0"/>
          <w:numId w:val="39"/>
        </w:numPr>
        <w:jc w:val="center"/>
        <w:rPr>
          <w:b/>
          <w:bCs/>
          <w:color w:val="000000" w:themeColor="text1"/>
          <w:sz w:val="6"/>
          <w:szCs w:val="6"/>
        </w:rPr>
      </w:pPr>
    </w:p>
    <w:p w:rsidR="00CD65EE" w:rsidRPr="003C2326" w:rsidRDefault="00E520E5" w:rsidP="00FF370F">
      <w:pPr>
        <w:pStyle w:val="ListParagraph"/>
        <w:ind w:left="360"/>
        <w:jc w:val="center"/>
        <w:rPr>
          <w:b/>
          <w:bCs/>
          <w:color w:val="000000" w:themeColor="text1"/>
          <w:sz w:val="22"/>
          <w:szCs w:val="22"/>
          <w:rtl/>
        </w:rPr>
      </w:pPr>
      <w:r w:rsidRPr="00E520E5">
        <w:rPr>
          <w:noProof/>
          <w:color w:val="000000" w:themeColor="text1"/>
          <w:bdr w:val="single" w:sz="4" w:space="0" w:color="auto"/>
        </w:rPr>
        <w:drawing>
          <wp:inline distT="0" distB="0" distL="0" distR="0">
            <wp:extent cx="4680585" cy="2118500"/>
            <wp:effectExtent l="0" t="0" r="0" b="0"/>
            <wp:docPr id="9" name="Object 19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9620C" w:rsidRDefault="00C9620C" w:rsidP="002A4A36">
      <w:pPr>
        <w:ind w:left="14"/>
        <w:jc w:val="both"/>
        <w:rPr>
          <w:b/>
          <w:bCs/>
          <w:color w:val="000000" w:themeColor="text1"/>
        </w:rPr>
      </w:pPr>
    </w:p>
    <w:p w:rsidR="00C9620C" w:rsidRDefault="00C9620C" w:rsidP="002A4A36">
      <w:pPr>
        <w:ind w:left="14"/>
        <w:jc w:val="both"/>
        <w:rPr>
          <w:b/>
          <w:bCs/>
          <w:color w:val="000000" w:themeColor="text1"/>
        </w:rPr>
      </w:pPr>
    </w:p>
    <w:p w:rsidR="002A4A36" w:rsidRPr="003C2326" w:rsidRDefault="002A4A36" w:rsidP="002A4A36">
      <w:pPr>
        <w:ind w:left="14"/>
        <w:jc w:val="both"/>
        <w:rPr>
          <w:b/>
          <w:bCs/>
          <w:color w:val="000000" w:themeColor="text1"/>
        </w:rPr>
      </w:pPr>
      <w:r w:rsidRPr="003C2326">
        <w:rPr>
          <w:b/>
          <w:bCs/>
          <w:color w:val="000000" w:themeColor="text1"/>
        </w:rPr>
        <w:t xml:space="preserve">Labor Force </w:t>
      </w:r>
    </w:p>
    <w:p w:rsidR="002A4A36" w:rsidRPr="003C2326" w:rsidRDefault="002A4A36" w:rsidP="002A4A36">
      <w:pPr>
        <w:tabs>
          <w:tab w:val="left" w:pos="284"/>
        </w:tabs>
        <w:rPr>
          <w:rFonts w:cs="Simplified Arabic"/>
          <w:b/>
          <w:bCs/>
          <w:iCs/>
          <w:color w:val="000000" w:themeColor="text1"/>
        </w:rPr>
      </w:pPr>
      <w:r w:rsidRPr="003C2326">
        <w:rPr>
          <w:rFonts w:cs="Simplified Arabic"/>
          <w:b/>
          <w:bCs/>
          <w:i/>
          <w:iCs/>
          <w:color w:val="000000" w:themeColor="text1"/>
        </w:rPr>
        <w:t xml:space="preserve">     </w:t>
      </w:r>
      <w:r w:rsidRPr="003C2326">
        <w:rPr>
          <w:rFonts w:cs="Simplified Arabic"/>
          <w:b/>
          <w:bCs/>
          <w:iCs/>
          <w:color w:val="000000" w:themeColor="text1"/>
        </w:rPr>
        <w:t>ILO Standards:</w:t>
      </w:r>
    </w:p>
    <w:p w:rsidR="00A465C2" w:rsidRPr="003C2326" w:rsidRDefault="00A465C2" w:rsidP="009041F1">
      <w:pPr>
        <w:numPr>
          <w:ilvl w:val="0"/>
          <w:numId w:val="27"/>
        </w:numPr>
        <w:ind w:right="0"/>
        <w:jc w:val="lowKashida"/>
        <w:rPr>
          <w:rFonts w:cs="Simplified Arabic"/>
          <w:color w:val="000000" w:themeColor="text1"/>
        </w:rPr>
      </w:pPr>
      <w:r w:rsidRPr="003C2326">
        <w:rPr>
          <w:rFonts w:cs="Simplified Arabic"/>
          <w:color w:val="000000" w:themeColor="text1"/>
        </w:rPr>
        <w:t>The labor force participation rate for individuals aged 15 years and above in Jerusalem governorate was 30.5% in 2013: 55.9% for males and 6.9% for females.  The rate was 39.8%, 40.0%, 39.0%, 37.8% and 32.7% for 200</w:t>
      </w:r>
      <w:r w:rsidR="00D01791">
        <w:rPr>
          <w:rFonts w:cs="Simplified Arabic"/>
          <w:color w:val="000000" w:themeColor="text1"/>
        </w:rPr>
        <w:t>8</w:t>
      </w:r>
      <w:r w:rsidRPr="003C2326">
        <w:rPr>
          <w:rFonts w:cs="Simplified Arabic"/>
          <w:color w:val="000000" w:themeColor="text1"/>
        </w:rPr>
        <w:t>-2012 respectively.</w:t>
      </w:r>
    </w:p>
    <w:p w:rsidR="00A465C2" w:rsidRPr="003C2326" w:rsidRDefault="00A465C2" w:rsidP="009041F1">
      <w:pPr>
        <w:jc w:val="lowKashida"/>
        <w:rPr>
          <w:rFonts w:cs="Simplified Arabic"/>
          <w:color w:val="000000" w:themeColor="text1"/>
          <w:sz w:val="10"/>
          <w:szCs w:val="10"/>
        </w:rPr>
      </w:pPr>
    </w:p>
    <w:p w:rsidR="00A465C2" w:rsidRPr="003C2326" w:rsidRDefault="00A465C2" w:rsidP="009041F1">
      <w:pPr>
        <w:numPr>
          <w:ilvl w:val="0"/>
          <w:numId w:val="27"/>
        </w:numPr>
        <w:ind w:right="0"/>
        <w:jc w:val="lowKashida"/>
        <w:rPr>
          <w:rFonts w:cs="Simplified Arabic"/>
          <w:color w:val="000000" w:themeColor="text1"/>
        </w:rPr>
      </w:pPr>
      <w:r w:rsidRPr="003C2326">
        <w:rPr>
          <w:rFonts w:cs="Simplified Arabic"/>
          <w:color w:val="000000" w:themeColor="text1"/>
        </w:rPr>
        <w:t xml:space="preserve">The labor force participation rate in Jerusalem governorate for the 25–34 year group was </w:t>
      </w:r>
      <w:r w:rsidR="00D01791">
        <w:rPr>
          <w:rFonts w:cs="Simplified Arabic"/>
          <w:color w:val="000000" w:themeColor="text1"/>
        </w:rPr>
        <w:t>40</w:t>
      </w:r>
      <w:r w:rsidRPr="003C2326">
        <w:rPr>
          <w:rFonts w:cs="Simplified Arabic"/>
          <w:color w:val="000000" w:themeColor="text1"/>
        </w:rPr>
        <w:t xml:space="preserve">.8% in 2013 compared </w:t>
      </w:r>
      <w:r w:rsidR="005443CC">
        <w:rPr>
          <w:rFonts w:cs="Simplified Arabic"/>
          <w:color w:val="000000" w:themeColor="text1"/>
        </w:rPr>
        <w:t>with</w:t>
      </w:r>
      <w:r w:rsidRPr="003C2326">
        <w:rPr>
          <w:rFonts w:cs="Simplified Arabic"/>
          <w:color w:val="000000" w:themeColor="text1"/>
        </w:rPr>
        <w:t xml:space="preserve"> 58.5%, 56.7%, 54.3%, 51.8% and 45.1% for 2008-2012.</w:t>
      </w:r>
    </w:p>
    <w:p w:rsidR="00A465C2" w:rsidRPr="003C2326" w:rsidRDefault="00A465C2" w:rsidP="009041F1">
      <w:pPr>
        <w:ind w:left="-360"/>
        <w:jc w:val="lowKashida"/>
        <w:rPr>
          <w:rFonts w:cs="Simplified Arabic"/>
          <w:color w:val="000000" w:themeColor="text1"/>
        </w:rPr>
      </w:pPr>
    </w:p>
    <w:p w:rsidR="00A465C2" w:rsidRPr="003C2326" w:rsidRDefault="00A465C2" w:rsidP="009041F1">
      <w:pPr>
        <w:numPr>
          <w:ilvl w:val="0"/>
          <w:numId w:val="27"/>
        </w:numPr>
        <w:ind w:right="0"/>
        <w:jc w:val="lowKashida"/>
        <w:rPr>
          <w:rFonts w:cs="Simplified Arabic"/>
          <w:color w:val="000000" w:themeColor="text1"/>
        </w:rPr>
      </w:pPr>
      <w:r w:rsidRPr="003C2326">
        <w:rPr>
          <w:rFonts w:cs="Simplified Arabic"/>
          <w:color w:val="000000" w:themeColor="text1"/>
        </w:rPr>
        <w:t xml:space="preserve">Full employment rates in Jerusalem governorate were 84.4%, 83.8%, 86.2%, 85.8%, 79.8% and 80.1% for 2008– 2013 respectively. </w:t>
      </w:r>
    </w:p>
    <w:p w:rsidR="00A465C2" w:rsidRPr="003C2326" w:rsidRDefault="00A465C2" w:rsidP="009041F1">
      <w:pPr>
        <w:ind w:left="-360"/>
        <w:jc w:val="lowKashida"/>
        <w:rPr>
          <w:rFonts w:cs="Simplified Arabic"/>
          <w:color w:val="000000" w:themeColor="text1"/>
        </w:rPr>
      </w:pPr>
    </w:p>
    <w:p w:rsidR="00A465C2" w:rsidRPr="003C2326" w:rsidRDefault="00A465C2" w:rsidP="009041F1">
      <w:pPr>
        <w:numPr>
          <w:ilvl w:val="0"/>
          <w:numId w:val="27"/>
        </w:numPr>
        <w:ind w:right="0"/>
        <w:jc w:val="lowKashida"/>
        <w:rPr>
          <w:rFonts w:cs="Simplified Arabic"/>
          <w:color w:val="000000" w:themeColor="text1"/>
        </w:rPr>
      </w:pPr>
      <w:r w:rsidRPr="003C2326">
        <w:rPr>
          <w:rFonts w:cs="Simplified Arabic"/>
          <w:color w:val="000000" w:themeColor="text1"/>
        </w:rPr>
        <w:t xml:space="preserve">Underemployment rates in Jerusalem governorate were 3.4%, 4.4%, 1.9%, 1.0%, 2.4% and 2.3% for 2008-2013 respectively. </w:t>
      </w:r>
    </w:p>
    <w:p w:rsidR="00A465C2" w:rsidRPr="003C2326" w:rsidRDefault="00A465C2" w:rsidP="009041F1">
      <w:pPr>
        <w:numPr>
          <w:ilvl w:val="0"/>
          <w:numId w:val="27"/>
        </w:numPr>
        <w:ind w:right="0"/>
        <w:jc w:val="lowKashida"/>
        <w:rPr>
          <w:rFonts w:cs="Simplified Arabic"/>
          <w:color w:val="000000" w:themeColor="text1"/>
        </w:rPr>
      </w:pPr>
      <w:r w:rsidRPr="003C2326">
        <w:rPr>
          <w:rFonts w:cs="Simplified Arabic"/>
          <w:color w:val="000000" w:themeColor="text1"/>
        </w:rPr>
        <w:lastRenderedPageBreak/>
        <w:t xml:space="preserve">The unemployment rate in Jerusalem governorate for individuals aged 15 years and above was 17.6% in 2013 compared </w:t>
      </w:r>
      <w:r w:rsidR="005443CC">
        <w:rPr>
          <w:rFonts w:cs="Simplified Arabic"/>
          <w:color w:val="000000" w:themeColor="text1"/>
        </w:rPr>
        <w:t>with</w:t>
      </w:r>
      <w:r w:rsidRPr="003C2326">
        <w:rPr>
          <w:rFonts w:cs="Simplified Arabic"/>
          <w:color w:val="000000" w:themeColor="text1"/>
        </w:rPr>
        <w:t xml:space="preserve"> 12.2%, 11.8%, 11.9%, 13.2% and 17.8% for 2008-2012 respectively.</w:t>
      </w:r>
    </w:p>
    <w:p w:rsidR="00A465C2" w:rsidRPr="003C2326" w:rsidRDefault="00A465C2" w:rsidP="009041F1">
      <w:pPr>
        <w:jc w:val="lowKashida"/>
        <w:rPr>
          <w:rFonts w:cs="Simplified Arabic"/>
          <w:color w:val="000000" w:themeColor="text1"/>
          <w:sz w:val="10"/>
          <w:szCs w:val="10"/>
        </w:rPr>
      </w:pPr>
    </w:p>
    <w:p w:rsidR="00A465C2" w:rsidRPr="003C2326" w:rsidRDefault="00A465C2" w:rsidP="001015F2">
      <w:pPr>
        <w:numPr>
          <w:ilvl w:val="0"/>
          <w:numId w:val="27"/>
        </w:numPr>
        <w:ind w:right="0"/>
        <w:jc w:val="lowKashida"/>
        <w:rPr>
          <w:rFonts w:cs="Simplified Arabic"/>
          <w:color w:val="000000" w:themeColor="text1"/>
        </w:rPr>
      </w:pPr>
      <w:r w:rsidRPr="003C2326">
        <w:rPr>
          <w:rFonts w:cs="Simplified Arabic"/>
          <w:color w:val="000000" w:themeColor="text1"/>
        </w:rPr>
        <w:t>Employed persons in Jerusalem governorate distributed by employment status in 2013 were as follows: 5.4% employers, 11.6% self-employed, 81.9% wage employee and 1.1% unpaid family member.</w:t>
      </w:r>
    </w:p>
    <w:p w:rsidR="00A465C2" w:rsidRPr="003C2326" w:rsidRDefault="00A465C2" w:rsidP="009041F1">
      <w:pPr>
        <w:ind w:left="-360"/>
        <w:jc w:val="lowKashida"/>
        <w:rPr>
          <w:rFonts w:cs="Simplified Arabic"/>
          <w:color w:val="000000" w:themeColor="text1"/>
        </w:rPr>
      </w:pPr>
    </w:p>
    <w:p w:rsidR="00A465C2" w:rsidRPr="003C2326" w:rsidRDefault="00A465C2" w:rsidP="009717EE">
      <w:pPr>
        <w:numPr>
          <w:ilvl w:val="0"/>
          <w:numId w:val="27"/>
        </w:numPr>
        <w:ind w:right="0"/>
        <w:jc w:val="lowKashida"/>
        <w:rPr>
          <w:rFonts w:cs="Simplified Arabic"/>
          <w:color w:val="000000" w:themeColor="text1"/>
        </w:rPr>
      </w:pPr>
      <w:r w:rsidRPr="003C2326">
        <w:rPr>
          <w:rFonts w:cs="Simplified Arabic"/>
          <w:color w:val="000000" w:themeColor="text1"/>
        </w:rPr>
        <w:t xml:space="preserve">Persons outside the labor force in Jerusalem governorate in 2013 </w:t>
      </w:r>
      <w:r w:rsidR="00ED6207">
        <w:rPr>
          <w:rFonts w:cs="Simplified Arabic"/>
          <w:color w:val="000000" w:themeColor="text1"/>
        </w:rPr>
        <w:t xml:space="preserve">made up </w:t>
      </w:r>
      <w:r w:rsidR="009717EE">
        <w:rPr>
          <w:rFonts w:cs="Simplified Arabic"/>
          <w:color w:val="000000" w:themeColor="text1"/>
        </w:rPr>
        <w:t>69</w:t>
      </w:r>
      <w:r w:rsidRPr="003C2326">
        <w:rPr>
          <w:rFonts w:cs="Simplified Arabic"/>
          <w:color w:val="000000" w:themeColor="text1"/>
        </w:rPr>
        <w:t>.</w:t>
      </w:r>
      <w:r w:rsidR="00EA2836">
        <w:rPr>
          <w:rFonts w:cs="Simplified Arabic"/>
          <w:color w:val="000000" w:themeColor="text1"/>
        </w:rPr>
        <w:t>5</w:t>
      </w:r>
      <w:r w:rsidRPr="003C2326">
        <w:rPr>
          <w:rFonts w:cs="Simplified Arabic"/>
          <w:color w:val="000000" w:themeColor="text1"/>
        </w:rPr>
        <w:t>%, of whom 22.0% were elderly or ill, 58.7% were house</w:t>
      </w:r>
      <w:r w:rsidRPr="003C2326">
        <w:rPr>
          <w:rFonts w:cs="Simplified Arabic" w:hint="cs"/>
          <w:color w:val="000000" w:themeColor="text1"/>
        </w:rPr>
        <w:t>k</w:t>
      </w:r>
      <w:r w:rsidRPr="003C2326">
        <w:rPr>
          <w:rFonts w:cs="Simplified Arabic"/>
          <w:color w:val="000000" w:themeColor="text1"/>
        </w:rPr>
        <w:t>eepers, 15.9% students, and 3.4% were outside the labor force for other reasons.</w:t>
      </w:r>
    </w:p>
    <w:p w:rsidR="00904866" w:rsidRDefault="00904866" w:rsidP="00904866">
      <w:pPr>
        <w:ind w:left="360" w:right="360"/>
        <w:jc w:val="both"/>
        <w:rPr>
          <w:rFonts w:cs="Simplified Arabic"/>
          <w:color w:val="000000" w:themeColor="text1"/>
        </w:rPr>
      </w:pPr>
    </w:p>
    <w:p w:rsidR="004065B2" w:rsidRPr="00C7037A" w:rsidRDefault="004065B2" w:rsidP="004065B2">
      <w:pPr>
        <w:jc w:val="center"/>
        <w:rPr>
          <w:rFonts w:ascii="Arial" w:hAnsi="Arial" w:cs="Arial"/>
          <w:b/>
          <w:bCs/>
          <w:sz w:val="18"/>
          <w:szCs w:val="18"/>
        </w:rPr>
      </w:pPr>
      <w:r w:rsidRPr="00C7037A">
        <w:rPr>
          <w:rFonts w:ascii="Arial" w:hAnsi="Arial" w:cs="Arial"/>
          <w:b/>
          <w:bCs/>
          <w:sz w:val="18"/>
          <w:szCs w:val="18"/>
        </w:rPr>
        <w:t xml:space="preserve">Percentage Distribution of Employed Persons from </w:t>
      </w:r>
      <w:r>
        <w:rPr>
          <w:rFonts w:ascii="Arial" w:hAnsi="Arial" w:cs="Arial"/>
          <w:b/>
          <w:bCs/>
          <w:sz w:val="18"/>
          <w:szCs w:val="18"/>
        </w:rPr>
        <w:t xml:space="preserve">the </w:t>
      </w:r>
      <w:r w:rsidRPr="00C7037A">
        <w:rPr>
          <w:rFonts w:ascii="Arial" w:hAnsi="Arial" w:cs="Arial"/>
          <w:b/>
          <w:bCs/>
          <w:sz w:val="18"/>
          <w:szCs w:val="18"/>
        </w:rPr>
        <w:t xml:space="preserve">Jerusalem Governorate by Employment Status, </w:t>
      </w:r>
      <w:r w:rsidRPr="00C7037A">
        <w:rPr>
          <w:rFonts w:ascii="Arial" w:hAnsi="Arial" w:cs="Arial" w:hint="cs"/>
          <w:b/>
          <w:bCs/>
          <w:sz w:val="18"/>
          <w:szCs w:val="18"/>
          <w:rtl/>
        </w:rPr>
        <w:t>2013</w:t>
      </w:r>
      <w:r w:rsidRPr="00C7037A">
        <w:rPr>
          <w:rFonts w:ascii="Arial" w:hAnsi="Arial" w:cs="Arial"/>
          <w:b/>
          <w:bCs/>
          <w:sz w:val="18"/>
          <w:szCs w:val="18"/>
        </w:rPr>
        <w:t xml:space="preserve"> (ILO Standards)</w:t>
      </w:r>
    </w:p>
    <w:p w:rsidR="004065B2" w:rsidRPr="00C7037A" w:rsidRDefault="004065B2" w:rsidP="004065B2">
      <w:pPr>
        <w:jc w:val="center"/>
        <w:rPr>
          <w:rFonts w:ascii="Arial" w:hAnsi="Arial" w:cs="Arial"/>
          <w:sz w:val="10"/>
          <w:szCs w:val="10"/>
        </w:rPr>
      </w:pPr>
    </w:p>
    <w:p w:rsidR="004065B2" w:rsidRPr="00C7037A" w:rsidRDefault="004065B2" w:rsidP="004065B2">
      <w:pPr>
        <w:jc w:val="center"/>
        <w:rPr>
          <w:rFonts w:ascii="Arial" w:hAnsi="Arial" w:cs="Arial"/>
          <w:sz w:val="10"/>
          <w:szCs w:val="10"/>
        </w:rPr>
      </w:pPr>
      <w:r>
        <w:rPr>
          <w:rFonts w:ascii="Arial" w:hAnsi="Arial" w:cs="Arial"/>
          <w:noProof/>
          <w:sz w:val="10"/>
          <w:szCs w:val="10"/>
          <w:bdr w:val="single" w:sz="4" w:space="0" w:color="auto"/>
        </w:rPr>
        <w:drawing>
          <wp:inline distT="0" distB="0" distL="0" distR="0">
            <wp:extent cx="5015553" cy="2415654"/>
            <wp:effectExtent l="0" t="0" r="0" b="0"/>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065B2" w:rsidRDefault="004065B2" w:rsidP="00904866">
      <w:pPr>
        <w:ind w:left="360" w:right="360"/>
        <w:jc w:val="both"/>
        <w:rPr>
          <w:rFonts w:cs="Simplified Arabic"/>
          <w:color w:val="000000" w:themeColor="text1"/>
        </w:rPr>
      </w:pPr>
    </w:p>
    <w:p w:rsidR="002A4A36" w:rsidRPr="003C2326" w:rsidRDefault="002A4A36" w:rsidP="009041F1">
      <w:pPr>
        <w:jc w:val="lowKashida"/>
        <w:rPr>
          <w:rFonts w:cs="Simplified Arabic"/>
          <w:b/>
          <w:bCs/>
          <w:color w:val="000000" w:themeColor="text1"/>
        </w:rPr>
      </w:pPr>
      <w:r w:rsidRPr="003C2326">
        <w:rPr>
          <w:rFonts w:cs="Simplified Arabic"/>
          <w:b/>
          <w:bCs/>
          <w:color w:val="000000" w:themeColor="text1"/>
        </w:rPr>
        <w:t>Relaxed Definition:</w:t>
      </w:r>
    </w:p>
    <w:p w:rsidR="00A465C2" w:rsidRPr="003C2326" w:rsidRDefault="00A465C2" w:rsidP="009041F1">
      <w:pPr>
        <w:numPr>
          <w:ilvl w:val="0"/>
          <w:numId w:val="12"/>
        </w:numPr>
        <w:ind w:right="0"/>
        <w:jc w:val="lowKashida"/>
        <w:rPr>
          <w:rFonts w:cs="Simplified Arabic"/>
          <w:color w:val="000000" w:themeColor="text1"/>
        </w:rPr>
      </w:pPr>
      <w:r w:rsidRPr="003C2326">
        <w:rPr>
          <w:rFonts w:cs="Simplified Arabic"/>
          <w:color w:val="000000" w:themeColor="text1"/>
        </w:rPr>
        <w:t>The labor force participation rate for persons aged 15 years and above in Jerusalem governorate was 32.8% in 2013.</w:t>
      </w:r>
    </w:p>
    <w:p w:rsidR="00A465C2" w:rsidRPr="003C2326" w:rsidRDefault="00A465C2" w:rsidP="009041F1">
      <w:pPr>
        <w:ind w:left="360" w:right="360"/>
        <w:jc w:val="lowKashida"/>
        <w:rPr>
          <w:rFonts w:cs="Simplified Arabic"/>
          <w:color w:val="000000" w:themeColor="text1"/>
        </w:rPr>
      </w:pPr>
    </w:p>
    <w:p w:rsidR="00A465C2" w:rsidRPr="003C2326" w:rsidRDefault="00A465C2" w:rsidP="009041F1">
      <w:pPr>
        <w:numPr>
          <w:ilvl w:val="0"/>
          <w:numId w:val="12"/>
        </w:numPr>
        <w:ind w:right="0"/>
        <w:jc w:val="lowKashida"/>
        <w:rPr>
          <w:rFonts w:cs="Simplified Arabic"/>
          <w:color w:val="000000" w:themeColor="text1"/>
        </w:rPr>
      </w:pPr>
      <w:r w:rsidRPr="003C2326">
        <w:rPr>
          <w:rFonts w:cs="Simplified Arabic"/>
          <w:color w:val="000000" w:themeColor="text1"/>
        </w:rPr>
        <w:t>The unemployment rate in Jerusalem governorate for persons aged 15 years and above was 23.</w:t>
      </w:r>
      <w:r w:rsidRPr="003C2326">
        <w:rPr>
          <w:rFonts w:cs="Simplified Arabic" w:hint="cs"/>
          <w:color w:val="000000" w:themeColor="text1"/>
          <w:rtl/>
        </w:rPr>
        <w:t>6</w:t>
      </w:r>
      <w:r w:rsidRPr="003C2326">
        <w:rPr>
          <w:rFonts w:cs="Simplified Arabic"/>
          <w:color w:val="000000" w:themeColor="text1"/>
        </w:rPr>
        <w:t>% in 201</w:t>
      </w:r>
      <w:r w:rsidRPr="003C2326">
        <w:rPr>
          <w:rFonts w:cs="Simplified Arabic" w:hint="cs"/>
          <w:color w:val="000000" w:themeColor="text1"/>
          <w:rtl/>
        </w:rPr>
        <w:t>3</w:t>
      </w:r>
      <w:r w:rsidRPr="003C2326">
        <w:rPr>
          <w:rFonts w:cs="Simplified Arabic"/>
          <w:color w:val="000000" w:themeColor="text1"/>
        </w:rPr>
        <w:t>.</w:t>
      </w:r>
    </w:p>
    <w:p w:rsidR="003B639D" w:rsidRPr="003C2326" w:rsidRDefault="003B639D" w:rsidP="009041F1">
      <w:pPr>
        <w:tabs>
          <w:tab w:val="num" w:pos="0"/>
          <w:tab w:val="left" w:pos="426"/>
        </w:tabs>
        <w:jc w:val="lowKashida"/>
        <w:rPr>
          <w:rFonts w:cs="Simplified Arabic"/>
          <w:color w:val="000000" w:themeColor="text1"/>
        </w:rPr>
      </w:pPr>
    </w:p>
    <w:p w:rsidR="00A235DF" w:rsidRPr="003C2326" w:rsidRDefault="00A235DF" w:rsidP="009041F1">
      <w:pPr>
        <w:tabs>
          <w:tab w:val="num" w:pos="0"/>
          <w:tab w:val="left" w:pos="426"/>
        </w:tabs>
        <w:jc w:val="lowKashida"/>
        <w:rPr>
          <w:rFonts w:cs="Simplified Arabic"/>
          <w:b/>
          <w:bCs/>
          <w:color w:val="000000" w:themeColor="text1"/>
        </w:rPr>
      </w:pPr>
      <w:r w:rsidRPr="003C2326">
        <w:rPr>
          <w:rFonts w:cs="Simplified Arabic"/>
          <w:b/>
          <w:bCs/>
          <w:color w:val="000000" w:themeColor="text1"/>
        </w:rPr>
        <w:t>Establishments</w:t>
      </w:r>
    </w:p>
    <w:p w:rsidR="00A235DF" w:rsidRPr="003C2326" w:rsidRDefault="00834970" w:rsidP="009041F1">
      <w:pPr>
        <w:numPr>
          <w:ilvl w:val="0"/>
          <w:numId w:val="12"/>
        </w:numPr>
        <w:tabs>
          <w:tab w:val="num" w:pos="284"/>
        </w:tabs>
        <w:ind w:left="284" w:right="0" w:hanging="284"/>
        <w:jc w:val="lowKashida"/>
        <w:rPr>
          <w:rFonts w:cs="Simplified Arabic"/>
          <w:color w:val="000000" w:themeColor="text1"/>
        </w:rPr>
      </w:pPr>
      <w:r w:rsidRPr="003C2326">
        <w:rPr>
          <w:rFonts w:cs="Simplified Arabic"/>
          <w:color w:val="000000" w:themeColor="text1"/>
        </w:rPr>
        <w:t xml:space="preserve">In 2012, there were 9,570 establishments operating in the private sector, </w:t>
      </w:r>
      <w:r w:rsidR="00FB7CB6">
        <w:rPr>
          <w:rFonts w:cs="Simplified Arabic"/>
          <w:color w:val="000000" w:themeColor="text1"/>
        </w:rPr>
        <w:t>as</w:t>
      </w:r>
      <w:r w:rsidRPr="003C2326">
        <w:rPr>
          <w:rFonts w:cs="Simplified Arabic"/>
          <w:color w:val="000000" w:themeColor="text1"/>
        </w:rPr>
        <w:t xml:space="preserve"> non-governmental organizations and government</w:t>
      </w:r>
      <w:r w:rsidRPr="003C2326">
        <w:rPr>
          <w:rFonts w:cs="Simplified Arabic"/>
          <w:color w:val="000000" w:themeColor="text1"/>
          <w:rtl/>
        </w:rPr>
        <w:t xml:space="preserve"> </w:t>
      </w:r>
      <w:r w:rsidRPr="003C2326">
        <w:rPr>
          <w:rFonts w:cs="Simplified Arabic"/>
          <w:color w:val="000000" w:themeColor="text1"/>
        </w:rPr>
        <w:t>companies in Jerusalem governorate. These establishments employed 31,310 workers, of wh</w:t>
      </w:r>
      <w:r w:rsidR="00FB7CB6">
        <w:rPr>
          <w:rFonts w:cs="Simplified Arabic"/>
          <w:color w:val="000000" w:themeColor="text1"/>
        </w:rPr>
        <w:t>om</w:t>
      </w:r>
      <w:r w:rsidRPr="003C2326">
        <w:rPr>
          <w:rFonts w:cs="Simplified Arabic"/>
          <w:color w:val="000000" w:themeColor="text1"/>
        </w:rPr>
        <w:t xml:space="preserve"> 12,375 were in </w:t>
      </w:r>
      <w:r w:rsidR="00E63CE2" w:rsidRPr="003C2326">
        <w:rPr>
          <w:rFonts w:cs="Simplified Arabic"/>
          <w:color w:val="000000" w:themeColor="text1"/>
        </w:rPr>
        <w:t xml:space="preserve">Area </w:t>
      </w:r>
      <w:r w:rsidRPr="003C2326">
        <w:rPr>
          <w:rFonts w:cs="Simplified Arabic"/>
          <w:color w:val="000000" w:themeColor="text1"/>
        </w:rPr>
        <w:t xml:space="preserve">J2 and 18,935 in </w:t>
      </w:r>
      <w:r w:rsidR="00E63CE2" w:rsidRPr="003C2326">
        <w:rPr>
          <w:rFonts w:cs="Simplified Arabic"/>
          <w:color w:val="000000" w:themeColor="text1"/>
        </w:rPr>
        <w:t xml:space="preserve">Area </w:t>
      </w:r>
      <w:r w:rsidRPr="003C2326">
        <w:rPr>
          <w:rFonts w:cs="Simplified Arabic"/>
          <w:color w:val="000000" w:themeColor="text1"/>
        </w:rPr>
        <w:t>J1</w:t>
      </w:r>
      <w:r w:rsidR="00A235DF" w:rsidRPr="003C2326">
        <w:rPr>
          <w:rFonts w:cs="Simplified Arabic"/>
          <w:color w:val="000000" w:themeColor="text1"/>
        </w:rPr>
        <w:t>.</w:t>
      </w:r>
    </w:p>
    <w:p w:rsidR="00A235DF" w:rsidRPr="003C2326" w:rsidRDefault="00A235DF" w:rsidP="009041F1">
      <w:pPr>
        <w:ind w:right="720"/>
        <w:jc w:val="lowKashida"/>
        <w:rPr>
          <w:color w:val="000000" w:themeColor="text1"/>
        </w:rPr>
      </w:pPr>
    </w:p>
    <w:p w:rsidR="00834970" w:rsidRPr="003C2326" w:rsidRDefault="00834970" w:rsidP="009041F1">
      <w:pPr>
        <w:numPr>
          <w:ilvl w:val="0"/>
          <w:numId w:val="12"/>
        </w:numPr>
        <w:tabs>
          <w:tab w:val="num" w:pos="284"/>
        </w:tabs>
        <w:ind w:left="284" w:right="0" w:hanging="284"/>
        <w:jc w:val="lowKashida"/>
        <w:rPr>
          <w:rFonts w:cs="Simplified Arabic"/>
          <w:color w:val="000000" w:themeColor="text1"/>
        </w:rPr>
      </w:pPr>
      <w:r w:rsidRPr="003C2326">
        <w:rPr>
          <w:rFonts w:cs="Simplified Arabic"/>
          <w:color w:val="000000" w:themeColor="text1"/>
        </w:rPr>
        <w:t>There were 10,464 establishments operating in Jerusalem governorate classified by main economic activity</w:t>
      </w:r>
      <w:r w:rsidR="00FB7CB6">
        <w:rPr>
          <w:rFonts w:cs="Simplified Arabic"/>
          <w:color w:val="000000" w:themeColor="text1"/>
        </w:rPr>
        <w:t>:</w:t>
      </w:r>
      <w:r w:rsidRPr="003C2326">
        <w:rPr>
          <w:rFonts w:cs="Simplified Arabic"/>
          <w:color w:val="000000" w:themeColor="text1"/>
        </w:rPr>
        <w:t xml:space="preserve"> </w:t>
      </w:r>
      <w:r w:rsidR="00FB7CB6">
        <w:rPr>
          <w:rFonts w:cs="Simplified Arabic"/>
          <w:color w:val="000000" w:themeColor="text1"/>
        </w:rPr>
        <w:t>5,461 in w</w:t>
      </w:r>
      <w:r w:rsidRPr="003C2326">
        <w:rPr>
          <w:rFonts w:cs="Simplified Arabic"/>
          <w:color w:val="000000" w:themeColor="text1"/>
        </w:rPr>
        <w:t>holesale and retail trade; repair of motor vehicles and motorcycles</w:t>
      </w:r>
      <w:r w:rsidR="00FB7CB6">
        <w:rPr>
          <w:rFonts w:cs="Simplified Arabic"/>
          <w:color w:val="000000" w:themeColor="text1"/>
        </w:rPr>
        <w:t>;</w:t>
      </w:r>
      <w:r w:rsidRPr="003C2326">
        <w:rPr>
          <w:rFonts w:cs="Simplified Arabic"/>
          <w:color w:val="000000" w:themeColor="text1"/>
        </w:rPr>
        <w:t xml:space="preserve"> </w:t>
      </w:r>
      <w:r w:rsidR="00FB7CB6">
        <w:rPr>
          <w:rFonts w:cs="Simplified Arabic"/>
          <w:color w:val="000000" w:themeColor="text1"/>
        </w:rPr>
        <w:t>1,111 in</w:t>
      </w:r>
      <w:r w:rsidRPr="003C2326">
        <w:rPr>
          <w:rFonts w:cs="Simplified Arabic"/>
          <w:color w:val="000000" w:themeColor="text1"/>
        </w:rPr>
        <w:t xml:space="preserve"> manufacturing</w:t>
      </w:r>
      <w:r w:rsidR="00FB7CB6">
        <w:rPr>
          <w:rFonts w:cs="Simplified Arabic"/>
          <w:color w:val="000000" w:themeColor="text1"/>
        </w:rPr>
        <w:t>;</w:t>
      </w:r>
      <w:r w:rsidRPr="003C2326">
        <w:rPr>
          <w:rFonts w:cs="Simplified Arabic"/>
          <w:color w:val="000000" w:themeColor="text1"/>
        </w:rPr>
        <w:t xml:space="preserve"> and </w:t>
      </w:r>
      <w:r w:rsidR="00FB7CB6">
        <w:rPr>
          <w:rFonts w:cs="Simplified Arabic"/>
          <w:color w:val="000000" w:themeColor="text1"/>
        </w:rPr>
        <w:t xml:space="preserve">1,110 in </w:t>
      </w:r>
      <w:r w:rsidRPr="003C2326">
        <w:rPr>
          <w:rFonts w:cs="Simplified Arabic"/>
          <w:color w:val="000000" w:themeColor="text1"/>
        </w:rPr>
        <w:t xml:space="preserve">other service activities. </w:t>
      </w:r>
      <w:r w:rsidR="009F3886">
        <w:rPr>
          <w:rFonts w:cs="Simplified Arabic"/>
          <w:color w:val="000000" w:themeColor="text1"/>
        </w:rPr>
        <w:t xml:space="preserve"> </w:t>
      </w:r>
      <w:r w:rsidRPr="003C2326">
        <w:rPr>
          <w:rFonts w:cs="Simplified Arabic"/>
          <w:color w:val="000000" w:themeColor="text1"/>
        </w:rPr>
        <w:t>Mining and quarrying had the smallest number with six establishments.</w:t>
      </w:r>
    </w:p>
    <w:p w:rsidR="009837D4" w:rsidRPr="000502B7" w:rsidRDefault="009837D4" w:rsidP="009041F1">
      <w:pPr>
        <w:tabs>
          <w:tab w:val="num" w:pos="0"/>
          <w:tab w:val="left" w:pos="426"/>
        </w:tabs>
        <w:jc w:val="lowKashida"/>
        <w:rPr>
          <w:rFonts w:cs="Simplified Arabic"/>
          <w:b/>
          <w:bCs/>
          <w:color w:val="000000" w:themeColor="text1"/>
        </w:rPr>
      </w:pPr>
      <w:r w:rsidRPr="000502B7">
        <w:rPr>
          <w:rFonts w:cs="Simplified Arabic"/>
          <w:b/>
          <w:bCs/>
          <w:color w:val="000000" w:themeColor="text1"/>
        </w:rPr>
        <w:lastRenderedPageBreak/>
        <w:t xml:space="preserve">National Accounts </w:t>
      </w:r>
    </w:p>
    <w:p w:rsidR="000502B7" w:rsidRPr="000502B7" w:rsidRDefault="000502B7" w:rsidP="009041F1">
      <w:pPr>
        <w:pStyle w:val="Heading1"/>
        <w:jc w:val="lowKashida"/>
        <w:rPr>
          <w:i w:val="0"/>
          <w:iCs w:val="0"/>
          <w:color w:val="000000" w:themeColor="text1"/>
        </w:rPr>
      </w:pPr>
      <w:r w:rsidRPr="000502B7">
        <w:rPr>
          <w:i w:val="0"/>
          <w:iCs w:val="0"/>
          <w:color w:val="000000" w:themeColor="text1"/>
        </w:rPr>
        <w:t>Area J1 of Jerusalem Governorate</w:t>
      </w:r>
    </w:p>
    <w:p w:rsidR="000502B7" w:rsidRPr="000502B7" w:rsidRDefault="000502B7" w:rsidP="009041F1">
      <w:pPr>
        <w:tabs>
          <w:tab w:val="num" w:pos="0"/>
          <w:tab w:val="left" w:pos="284"/>
        </w:tabs>
        <w:jc w:val="lowKashida"/>
        <w:rPr>
          <w:rFonts w:cs="Simplified Arabic"/>
          <w:color w:val="000000" w:themeColor="text1"/>
          <w:sz w:val="6"/>
          <w:szCs w:val="6"/>
        </w:rPr>
      </w:pPr>
    </w:p>
    <w:p w:rsidR="00784217" w:rsidRDefault="000502B7" w:rsidP="009041F1">
      <w:pPr>
        <w:numPr>
          <w:ilvl w:val="0"/>
          <w:numId w:val="12"/>
        </w:numPr>
        <w:tabs>
          <w:tab w:val="num" w:pos="284"/>
        </w:tabs>
        <w:ind w:left="284" w:right="0" w:hanging="284"/>
        <w:jc w:val="lowKashida"/>
        <w:rPr>
          <w:rFonts w:cs="Simplified Arabic"/>
          <w:color w:val="000000" w:themeColor="text1"/>
        </w:rPr>
      </w:pPr>
      <w:r w:rsidRPr="000502B7">
        <w:rPr>
          <w:rFonts w:cs="Simplified Arabic"/>
          <w:color w:val="000000" w:themeColor="text1"/>
        </w:rPr>
        <w:t xml:space="preserve">The gross value added at current prices was USD </w:t>
      </w:r>
      <w:r w:rsidRPr="000502B7">
        <w:rPr>
          <w:rFonts w:hint="cs"/>
          <w:color w:val="000000" w:themeColor="text1"/>
          <w:rtl/>
        </w:rPr>
        <w:t>932.1</w:t>
      </w:r>
      <w:r w:rsidRPr="000502B7">
        <w:rPr>
          <w:rFonts w:cs="Simplified Arabic"/>
          <w:color w:val="000000" w:themeColor="text1"/>
        </w:rPr>
        <w:t xml:space="preserve"> million for </w:t>
      </w:r>
      <w:r w:rsidRPr="000502B7">
        <w:rPr>
          <w:rFonts w:cs="Simplified Arabic" w:hint="cs"/>
          <w:color w:val="000000" w:themeColor="text1"/>
          <w:rtl/>
        </w:rPr>
        <w:t>2012</w:t>
      </w:r>
      <w:r w:rsidRPr="000502B7">
        <w:rPr>
          <w:rFonts w:cs="Simplified Arabic"/>
          <w:color w:val="000000" w:themeColor="text1"/>
        </w:rPr>
        <w:t xml:space="preserve"> compared </w:t>
      </w:r>
      <w:r w:rsidR="00FB7CB6">
        <w:rPr>
          <w:rFonts w:cs="Simplified Arabic"/>
          <w:color w:val="000000" w:themeColor="text1"/>
        </w:rPr>
        <w:t>with</w:t>
      </w:r>
      <w:r w:rsidRPr="000502B7">
        <w:rPr>
          <w:rFonts w:cs="Simplified Arabic"/>
          <w:color w:val="000000" w:themeColor="text1"/>
        </w:rPr>
        <w:t xml:space="preserve"> USD</w:t>
      </w:r>
      <w:r w:rsidRPr="000502B7">
        <w:rPr>
          <w:rFonts w:cs="Simplified Arabic" w:hint="cs"/>
          <w:color w:val="000000" w:themeColor="text1"/>
          <w:rtl/>
        </w:rPr>
        <w:t xml:space="preserve"> </w:t>
      </w:r>
      <w:r w:rsidRPr="000502B7">
        <w:rPr>
          <w:rFonts w:hint="cs"/>
          <w:color w:val="000000" w:themeColor="text1"/>
          <w:rtl/>
        </w:rPr>
        <w:t>505.3</w:t>
      </w:r>
      <w:r w:rsidRPr="000502B7">
        <w:rPr>
          <w:rFonts w:cs="Simplified Arabic"/>
          <w:color w:val="000000" w:themeColor="text1"/>
          <w:rtl/>
        </w:rPr>
        <w:t xml:space="preserve"> </w:t>
      </w:r>
      <w:r w:rsidRPr="000502B7">
        <w:rPr>
          <w:rFonts w:cs="Simplified Arabic"/>
          <w:color w:val="000000" w:themeColor="text1"/>
        </w:rPr>
        <w:t xml:space="preserve">million in </w:t>
      </w:r>
      <w:r w:rsidRPr="000502B7">
        <w:rPr>
          <w:rFonts w:cs="Simplified Arabic" w:hint="cs"/>
          <w:color w:val="000000" w:themeColor="text1"/>
          <w:rtl/>
        </w:rPr>
        <w:t>2011</w:t>
      </w:r>
      <w:r w:rsidR="00025A6A">
        <w:rPr>
          <w:rFonts w:cs="Simplified Arabic"/>
          <w:color w:val="000000" w:themeColor="text1"/>
          <w:lang w:val="en-GB"/>
        </w:rPr>
        <w:t>.</w:t>
      </w:r>
    </w:p>
    <w:p w:rsidR="00DF1D8C" w:rsidRDefault="00DF1D8C" w:rsidP="00DF1D8C">
      <w:pPr>
        <w:pStyle w:val="Heading3"/>
        <w:ind w:right="-5"/>
        <w:jc w:val="center"/>
        <w:rPr>
          <w:rFonts w:ascii="Arial" w:hAnsi="Arial" w:cs="Arial"/>
          <w:color w:val="000000" w:themeColor="text1"/>
          <w:sz w:val="18"/>
          <w:szCs w:val="18"/>
        </w:rPr>
      </w:pPr>
      <w:r w:rsidRPr="00445C45">
        <w:rPr>
          <w:rFonts w:ascii="Arial" w:hAnsi="Arial" w:cs="Arial"/>
          <w:color w:val="000000" w:themeColor="text1"/>
          <w:sz w:val="18"/>
          <w:szCs w:val="18"/>
        </w:rPr>
        <w:t xml:space="preserve">Percentage Distribution of </w:t>
      </w:r>
      <w:r w:rsidR="00FB7CB6">
        <w:rPr>
          <w:rFonts w:ascii="Arial" w:hAnsi="Arial" w:cs="Arial"/>
          <w:color w:val="000000" w:themeColor="text1"/>
          <w:sz w:val="18"/>
          <w:szCs w:val="18"/>
        </w:rPr>
        <w:t>V</w:t>
      </w:r>
      <w:r w:rsidRPr="00445C45">
        <w:rPr>
          <w:rFonts w:ascii="Arial" w:hAnsi="Arial" w:cs="Arial"/>
          <w:color w:val="000000" w:themeColor="text1"/>
          <w:sz w:val="18"/>
          <w:szCs w:val="18"/>
        </w:rPr>
        <w:t xml:space="preserve">alue </w:t>
      </w:r>
      <w:r w:rsidR="00FB7CB6">
        <w:rPr>
          <w:rFonts w:ascii="Arial" w:hAnsi="Arial" w:cs="Arial"/>
          <w:color w:val="000000" w:themeColor="text1"/>
          <w:sz w:val="18"/>
          <w:szCs w:val="18"/>
        </w:rPr>
        <w:t>A</w:t>
      </w:r>
      <w:r w:rsidRPr="00445C45">
        <w:rPr>
          <w:rFonts w:ascii="Arial" w:hAnsi="Arial" w:cs="Arial"/>
          <w:color w:val="000000" w:themeColor="text1"/>
          <w:sz w:val="18"/>
          <w:szCs w:val="18"/>
        </w:rPr>
        <w:t>dded in Jerusalem Governorate Area (J1) by Economic Activity 201</w:t>
      </w:r>
      <w:r w:rsidRPr="00445C45">
        <w:rPr>
          <w:rFonts w:ascii="Arial" w:hAnsi="Arial" w:cs="Arial" w:hint="cs"/>
          <w:color w:val="000000" w:themeColor="text1"/>
          <w:sz w:val="18"/>
          <w:szCs w:val="18"/>
          <w:rtl/>
        </w:rPr>
        <w:t>1</w:t>
      </w:r>
      <w:r w:rsidRPr="00445C45">
        <w:rPr>
          <w:rFonts w:ascii="Arial" w:hAnsi="Arial" w:cs="Arial"/>
          <w:color w:val="000000" w:themeColor="text1"/>
          <w:sz w:val="18"/>
          <w:szCs w:val="18"/>
        </w:rPr>
        <w:t>, 2012</w:t>
      </w:r>
    </w:p>
    <w:p w:rsidR="00DD004E" w:rsidRPr="00DD004E" w:rsidRDefault="00DD004E" w:rsidP="00DD004E">
      <w:pPr>
        <w:tabs>
          <w:tab w:val="left" w:pos="2750"/>
        </w:tabs>
        <w:rPr>
          <w:sz w:val="12"/>
          <w:szCs w:val="12"/>
        </w:rPr>
      </w:pPr>
      <w:r>
        <w:tab/>
      </w:r>
    </w:p>
    <w:p w:rsidR="00445C45" w:rsidRPr="00B60FD3" w:rsidRDefault="00212CBE" w:rsidP="00445C45">
      <w:pPr>
        <w:tabs>
          <w:tab w:val="left" w:pos="4252"/>
        </w:tabs>
        <w:jc w:val="center"/>
        <w:rPr>
          <w:b/>
          <w:bCs/>
          <w:rtl/>
        </w:rPr>
      </w:pPr>
      <w:r w:rsidRPr="00212CBE">
        <w:rPr>
          <w:noProof/>
          <w:bdr w:val="single" w:sz="4" w:space="0" w:color="auto"/>
        </w:rPr>
        <w:drawing>
          <wp:inline distT="0" distB="0" distL="0" distR="0">
            <wp:extent cx="4798609" cy="2695433"/>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45C45" w:rsidRPr="003C2326" w:rsidRDefault="00445C45" w:rsidP="009837D4">
      <w:pPr>
        <w:tabs>
          <w:tab w:val="left" w:pos="284"/>
        </w:tabs>
        <w:jc w:val="both"/>
        <w:rPr>
          <w:rFonts w:cs="Simplified Arabic"/>
          <w:color w:val="000000" w:themeColor="text1"/>
          <w:sz w:val="10"/>
          <w:szCs w:val="10"/>
        </w:rPr>
      </w:pPr>
    </w:p>
    <w:p w:rsidR="00445C45" w:rsidRDefault="00445C45" w:rsidP="002A6117">
      <w:pPr>
        <w:tabs>
          <w:tab w:val="num" w:pos="0"/>
        </w:tabs>
        <w:jc w:val="both"/>
        <w:rPr>
          <w:rFonts w:cs="Simplified Arabic"/>
          <w:b/>
          <w:bCs/>
          <w:color w:val="000000" w:themeColor="text1"/>
        </w:rPr>
      </w:pPr>
    </w:p>
    <w:p w:rsidR="002A6117" w:rsidRPr="003C2326" w:rsidRDefault="002A6117" w:rsidP="009041F1">
      <w:pPr>
        <w:tabs>
          <w:tab w:val="num" w:pos="0"/>
        </w:tabs>
        <w:jc w:val="lowKashida"/>
        <w:rPr>
          <w:rFonts w:cs="Simplified Arabic"/>
          <w:b/>
          <w:bCs/>
          <w:i/>
          <w:iCs/>
          <w:color w:val="000000" w:themeColor="text1"/>
        </w:rPr>
      </w:pPr>
      <w:r w:rsidRPr="003C2326">
        <w:rPr>
          <w:rFonts w:cs="Simplified Arabic"/>
          <w:b/>
          <w:bCs/>
          <w:color w:val="000000" w:themeColor="text1"/>
        </w:rPr>
        <w:t xml:space="preserve">Consumer Prices </w:t>
      </w:r>
    </w:p>
    <w:p w:rsidR="002A6117" w:rsidRPr="003C2326" w:rsidRDefault="002A6117" w:rsidP="009041F1">
      <w:pPr>
        <w:pStyle w:val="BodyText2"/>
        <w:numPr>
          <w:ilvl w:val="0"/>
          <w:numId w:val="14"/>
        </w:numPr>
        <w:tabs>
          <w:tab w:val="left" w:pos="284"/>
        </w:tabs>
        <w:bidi w:val="0"/>
        <w:ind w:left="284" w:hanging="284"/>
        <w:rPr>
          <w:color w:val="000000" w:themeColor="text1"/>
          <w:sz w:val="16"/>
          <w:szCs w:val="16"/>
        </w:rPr>
      </w:pPr>
      <w:r w:rsidRPr="003C2326">
        <w:rPr>
          <w:color w:val="000000" w:themeColor="text1"/>
        </w:rPr>
        <w:t xml:space="preserve">The consumer price index in Jerusalem governorate rose by 1.81% in 2013 compared </w:t>
      </w:r>
      <w:r w:rsidR="00FB7CB6">
        <w:rPr>
          <w:color w:val="000000" w:themeColor="text1"/>
        </w:rPr>
        <w:t>with</w:t>
      </w:r>
      <w:r w:rsidRPr="003C2326">
        <w:rPr>
          <w:color w:val="000000" w:themeColor="text1"/>
        </w:rPr>
        <w:t xml:space="preserve"> 2012</w:t>
      </w:r>
      <w:r w:rsidR="00FB7CB6">
        <w:rPr>
          <w:color w:val="000000" w:themeColor="text1"/>
        </w:rPr>
        <w:t xml:space="preserve">, </w:t>
      </w:r>
      <w:r w:rsidR="00CA7E68">
        <w:rPr>
          <w:color w:val="000000" w:themeColor="text1"/>
        </w:rPr>
        <w:t>by</w:t>
      </w:r>
      <w:r w:rsidRPr="003C2326">
        <w:rPr>
          <w:color w:val="000000" w:themeColor="text1"/>
        </w:rPr>
        <w:t xml:space="preserve"> 3.23% in 2012 compared </w:t>
      </w:r>
      <w:r w:rsidR="00FB7CB6">
        <w:rPr>
          <w:color w:val="000000" w:themeColor="text1"/>
        </w:rPr>
        <w:t>with</w:t>
      </w:r>
      <w:r w:rsidRPr="003C2326">
        <w:rPr>
          <w:color w:val="000000" w:themeColor="text1"/>
        </w:rPr>
        <w:t xml:space="preserve"> 2011, and by 4.13% in 2011 compared </w:t>
      </w:r>
      <w:r w:rsidR="00FB7CB6">
        <w:rPr>
          <w:color w:val="000000" w:themeColor="text1"/>
        </w:rPr>
        <w:t>with</w:t>
      </w:r>
      <w:r w:rsidRPr="003C2326">
        <w:rPr>
          <w:color w:val="000000" w:themeColor="text1"/>
        </w:rPr>
        <w:t xml:space="preserve"> 2010.</w:t>
      </w:r>
    </w:p>
    <w:p w:rsidR="002A6117" w:rsidRPr="003C2326" w:rsidRDefault="002A6117" w:rsidP="009041F1">
      <w:pPr>
        <w:pStyle w:val="BodyText2"/>
        <w:tabs>
          <w:tab w:val="left" w:pos="284"/>
        </w:tabs>
        <w:bidi w:val="0"/>
        <w:ind w:left="284"/>
        <w:rPr>
          <w:color w:val="000000" w:themeColor="text1"/>
          <w:sz w:val="16"/>
          <w:szCs w:val="16"/>
        </w:rPr>
      </w:pPr>
    </w:p>
    <w:p w:rsidR="002A6117" w:rsidRPr="0072226A" w:rsidRDefault="002A6117" w:rsidP="009041F1">
      <w:pPr>
        <w:tabs>
          <w:tab w:val="num" w:pos="0"/>
        </w:tabs>
        <w:jc w:val="lowKashida"/>
        <w:rPr>
          <w:rFonts w:cs="Simplified Arabic"/>
          <w:b/>
          <w:bCs/>
          <w:color w:val="000000" w:themeColor="text1"/>
        </w:rPr>
      </w:pPr>
      <w:r w:rsidRPr="0072226A">
        <w:rPr>
          <w:rFonts w:cs="Simplified Arabic"/>
          <w:b/>
          <w:bCs/>
          <w:color w:val="000000" w:themeColor="text1"/>
        </w:rPr>
        <w:t>Transportation Sector</w:t>
      </w:r>
      <w:r w:rsidR="009F3886">
        <w:rPr>
          <w:rFonts w:cs="Simplified Arabic"/>
          <w:b/>
          <w:bCs/>
          <w:color w:val="000000" w:themeColor="text1"/>
        </w:rPr>
        <w:t xml:space="preserve"> 2012</w:t>
      </w:r>
    </w:p>
    <w:p w:rsidR="002A6117" w:rsidRPr="0072226A" w:rsidRDefault="002A6117" w:rsidP="009041F1">
      <w:pPr>
        <w:tabs>
          <w:tab w:val="num" w:pos="0"/>
        </w:tabs>
        <w:jc w:val="lowKashida"/>
        <w:rPr>
          <w:color w:val="000000" w:themeColor="text1"/>
          <w:sz w:val="12"/>
          <w:szCs w:val="12"/>
        </w:rPr>
      </w:pPr>
      <w:r w:rsidRPr="0072226A">
        <w:rPr>
          <w:rFonts w:cs="Simplified Arabic"/>
          <w:b/>
          <w:bCs/>
          <w:color w:val="000000" w:themeColor="text1"/>
        </w:rPr>
        <w:t xml:space="preserve"> </w:t>
      </w:r>
    </w:p>
    <w:p w:rsidR="002A6117" w:rsidRPr="0072226A" w:rsidRDefault="00AC660D" w:rsidP="009041F1">
      <w:pPr>
        <w:pStyle w:val="BodyText2"/>
        <w:bidi w:val="0"/>
        <w:rPr>
          <w:b/>
          <w:bCs/>
          <w:color w:val="000000" w:themeColor="text1"/>
        </w:rPr>
      </w:pPr>
      <w:r>
        <w:rPr>
          <w:b/>
          <w:bCs/>
          <w:color w:val="000000" w:themeColor="text1"/>
        </w:rPr>
        <w:t>1</w:t>
      </w:r>
      <w:r w:rsidR="002A6117" w:rsidRPr="0072226A">
        <w:rPr>
          <w:b/>
          <w:bCs/>
          <w:color w:val="000000" w:themeColor="text1"/>
        </w:rPr>
        <w:t>.   Informal Transportation Activities:</w:t>
      </w:r>
    </w:p>
    <w:p w:rsidR="002A6117" w:rsidRPr="0072226A" w:rsidRDefault="002A6117" w:rsidP="009041F1">
      <w:pPr>
        <w:pStyle w:val="BodyText2"/>
        <w:numPr>
          <w:ilvl w:val="0"/>
          <w:numId w:val="15"/>
        </w:numPr>
        <w:tabs>
          <w:tab w:val="left" w:pos="284"/>
        </w:tabs>
        <w:bidi w:val="0"/>
        <w:ind w:left="284" w:hanging="284"/>
        <w:rPr>
          <w:color w:val="000000" w:themeColor="text1"/>
        </w:rPr>
      </w:pPr>
      <w:r w:rsidRPr="0072226A">
        <w:rPr>
          <w:color w:val="000000" w:themeColor="text1"/>
        </w:rPr>
        <w:t xml:space="preserve">There were </w:t>
      </w:r>
      <w:r w:rsidRPr="0072226A">
        <w:rPr>
          <w:rFonts w:hint="cs"/>
          <w:color w:val="000000" w:themeColor="text1"/>
          <w:rtl/>
        </w:rPr>
        <w:t>454</w:t>
      </w:r>
      <w:r w:rsidRPr="0072226A">
        <w:rPr>
          <w:color w:val="000000" w:themeColor="text1"/>
        </w:rPr>
        <w:t xml:space="preserve"> vehicles engaged in this sector in Jerusalem governorate with </w:t>
      </w:r>
      <w:r w:rsidRPr="0072226A">
        <w:rPr>
          <w:rFonts w:hint="cs"/>
          <w:color w:val="000000" w:themeColor="text1"/>
          <w:rtl/>
        </w:rPr>
        <w:t>491</w:t>
      </w:r>
      <w:r w:rsidRPr="0072226A">
        <w:rPr>
          <w:color w:val="000000" w:themeColor="text1"/>
        </w:rPr>
        <w:t xml:space="preserve"> employees.</w:t>
      </w:r>
    </w:p>
    <w:p w:rsidR="002A6117" w:rsidRPr="0072226A" w:rsidRDefault="002A6117" w:rsidP="009041F1">
      <w:pPr>
        <w:pStyle w:val="BodyText2"/>
        <w:tabs>
          <w:tab w:val="left" w:pos="284"/>
        </w:tabs>
        <w:bidi w:val="0"/>
        <w:rPr>
          <w:color w:val="000000" w:themeColor="text1"/>
          <w:sz w:val="10"/>
          <w:szCs w:val="10"/>
        </w:rPr>
      </w:pPr>
    </w:p>
    <w:p w:rsidR="002A6117" w:rsidRDefault="002A6117" w:rsidP="009041F1">
      <w:pPr>
        <w:pStyle w:val="BodyText2"/>
        <w:numPr>
          <w:ilvl w:val="0"/>
          <w:numId w:val="15"/>
        </w:numPr>
        <w:tabs>
          <w:tab w:val="left" w:pos="284"/>
        </w:tabs>
        <w:bidi w:val="0"/>
        <w:ind w:left="284" w:hanging="284"/>
        <w:rPr>
          <w:color w:val="000000" w:themeColor="text1"/>
        </w:rPr>
      </w:pPr>
      <w:r w:rsidRPr="0072226A">
        <w:rPr>
          <w:color w:val="000000" w:themeColor="text1"/>
        </w:rPr>
        <w:t xml:space="preserve">The output value of these vehicles was USD </w:t>
      </w:r>
      <w:r w:rsidRPr="0072226A">
        <w:rPr>
          <w:rFonts w:hint="cs"/>
          <w:color w:val="000000" w:themeColor="text1"/>
          <w:rtl/>
        </w:rPr>
        <w:t>12.9</w:t>
      </w:r>
      <w:r w:rsidRPr="0072226A">
        <w:rPr>
          <w:color w:val="000000" w:themeColor="text1"/>
        </w:rPr>
        <w:t xml:space="preserve"> million.</w:t>
      </w:r>
    </w:p>
    <w:p w:rsidR="007D456C" w:rsidRPr="007D456C" w:rsidRDefault="007D456C" w:rsidP="009041F1">
      <w:pPr>
        <w:pStyle w:val="ListParagraph"/>
        <w:jc w:val="lowKashida"/>
        <w:rPr>
          <w:color w:val="000000" w:themeColor="text1"/>
          <w:sz w:val="12"/>
          <w:szCs w:val="12"/>
        </w:rPr>
      </w:pPr>
    </w:p>
    <w:p w:rsidR="002A6117" w:rsidRPr="0072226A" w:rsidRDefault="002A6117" w:rsidP="009041F1">
      <w:pPr>
        <w:pStyle w:val="BodyText2"/>
        <w:numPr>
          <w:ilvl w:val="0"/>
          <w:numId w:val="15"/>
        </w:numPr>
        <w:tabs>
          <w:tab w:val="left" w:pos="284"/>
        </w:tabs>
        <w:bidi w:val="0"/>
        <w:ind w:left="284" w:hanging="284"/>
        <w:rPr>
          <w:color w:val="000000" w:themeColor="text1"/>
        </w:rPr>
      </w:pPr>
      <w:r w:rsidRPr="0072226A">
        <w:rPr>
          <w:color w:val="000000" w:themeColor="text1"/>
        </w:rPr>
        <w:t xml:space="preserve">The value added realized by the informal transportation sector was USD </w:t>
      </w:r>
      <w:r w:rsidRPr="0072226A">
        <w:rPr>
          <w:rFonts w:hint="cs"/>
          <w:color w:val="000000" w:themeColor="text1"/>
          <w:rtl/>
        </w:rPr>
        <w:t>5.7</w:t>
      </w:r>
      <w:r w:rsidRPr="0072226A">
        <w:rPr>
          <w:color w:val="000000" w:themeColor="text1"/>
        </w:rPr>
        <w:t xml:space="preserve"> million.</w:t>
      </w:r>
    </w:p>
    <w:p w:rsidR="002A6117" w:rsidRDefault="002A6117" w:rsidP="009041F1">
      <w:pPr>
        <w:pStyle w:val="BodyText2"/>
        <w:tabs>
          <w:tab w:val="left" w:pos="284"/>
        </w:tabs>
        <w:bidi w:val="0"/>
        <w:rPr>
          <w:color w:val="000000" w:themeColor="text1"/>
        </w:rPr>
      </w:pPr>
    </w:p>
    <w:p w:rsidR="00AC660D" w:rsidRPr="0072226A" w:rsidRDefault="00AC660D" w:rsidP="009041F1">
      <w:pPr>
        <w:tabs>
          <w:tab w:val="left" w:pos="284"/>
        </w:tabs>
        <w:jc w:val="lowKashida"/>
        <w:rPr>
          <w:rFonts w:cs="Simplified Arabic"/>
          <w:b/>
          <w:bCs/>
          <w:color w:val="000000" w:themeColor="text1"/>
        </w:rPr>
      </w:pPr>
      <w:r>
        <w:rPr>
          <w:b/>
          <w:bCs/>
          <w:color w:val="000000" w:themeColor="text1"/>
        </w:rPr>
        <w:t>2</w:t>
      </w:r>
      <w:r w:rsidRPr="0072226A">
        <w:rPr>
          <w:b/>
          <w:bCs/>
          <w:color w:val="000000" w:themeColor="text1"/>
        </w:rPr>
        <w:t xml:space="preserve">.   </w:t>
      </w:r>
      <w:r w:rsidRPr="0072226A">
        <w:rPr>
          <w:rFonts w:cs="Simplified Arabic"/>
          <w:b/>
          <w:bCs/>
          <w:color w:val="000000" w:themeColor="text1"/>
        </w:rPr>
        <w:t>Transportation and Storage:</w:t>
      </w:r>
    </w:p>
    <w:p w:rsidR="00AC660D" w:rsidRPr="0072226A" w:rsidRDefault="00AC660D" w:rsidP="009041F1">
      <w:pPr>
        <w:pStyle w:val="BodyText2"/>
        <w:bidi w:val="0"/>
        <w:rPr>
          <w:color w:val="000000" w:themeColor="text1"/>
          <w:sz w:val="12"/>
          <w:szCs w:val="12"/>
        </w:rPr>
      </w:pPr>
    </w:p>
    <w:p w:rsidR="00AC660D" w:rsidRPr="0072226A" w:rsidRDefault="00AC660D" w:rsidP="009041F1">
      <w:pPr>
        <w:pStyle w:val="BodyText2"/>
        <w:numPr>
          <w:ilvl w:val="0"/>
          <w:numId w:val="15"/>
        </w:numPr>
        <w:tabs>
          <w:tab w:val="left" w:pos="284"/>
        </w:tabs>
        <w:bidi w:val="0"/>
        <w:ind w:left="284" w:hanging="284"/>
        <w:rPr>
          <w:color w:val="000000" w:themeColor="text1"/>
        </w:rPr>
      </w:pPr>
      <w:r w:rsidRPr="0072226A">
        <w:rPr>
          <w:color w:val="000000" w:themeColor="text1"/>
        </w:rPr>
        <w:t>There were 80 enterprises engaged in this sector in Jerusalem governorate with 969 employees.</w:t>
      </w:r>
    </w:p>
    <w:p w:rsidR="00AC660D" w:rsidRPr="0072226A" w:rsidRDefault="00AC660D" w:rsidP="009041F1">
      <w:pPr>
        <w:pStyle w:val="BodyText2"/>
        <w:bidi w:val="0"/>
        <w:rPr>
          <w:color w:val="000000" w:themeColor="text1"/>
          <w:sz w:val="10"/>
          <w:szCs w:val="10"/>
        </w:rPr>
      </w:pPr>
    </w:p>
    <w:p w:rsidR="00AC660D" w:rsidRPr="0072226A" w:rsidRDefault="00AC660D" w:rsidP="009041F1">
      <w:pPr>
        <w:pStyle w:val="BodyText2"/>
        <w:numPr>
          <w:ilvl w:val="0"/>
          <w:numId w:val="16"/>
        </w:numPr>
        <w:tabs>
          <w:tab w:val="clear" w:pos="0"/>
          <w:tab w:val="num" w:pos="284"/>
        </w:tabs>
        <w:bidi w:val="0"/>
        <w:ind w:left="284" w:hanging="284"/>
        <w:rPr>
          <w:color w:val="000000" w:themeColor="text1"/>
        </w:rPr>
      </w:pPr>
      <w:r w:rsidRPr="0072226A">
        <w:rPr>
          <w:color w:val="000000" w:themeColor="text1"/>
        </w:rPr>
        <w:t>The output value in Jerusalem governorate was USD 30.1 million.</w:t>
      </w:r>
    </w:p>
    <w:p w:rsidR="00AC660D" w:rsidRDefault="00AC660D" w:rsidP="009041F1">
      <w:pPr>
        <w:pStyle w:val="BodyText2"/>
        <w:numPr>
          <w:ilvl w:val="0"/>
          <w:numId w:val="17"/>
        </w:numPr>
        <w:tabs>
          <w:tab w:val="clear" w:pos="0"/>
          <w:tab w:val="num" w:pos="284"/>
        </w:tabs>
        <w:bidi w:val="0"/>
        <w:ind w:left="284" w:hanging="284"/>
        <w:rPr>
          <w:color w:val="000000" w:themeColor="text1"/>
        </w:rPr>
      </w:pPr>
      <w:r w:rsidRPr="0072226A">
        <w:rPr>
          <w:color w:val="000000" w:themeColor="text1"/>
        </w:rPr>
        <w:t>The value added realized by the formal transportation sector was USD 12.5 million.</w:t>
      </w:r>
    </w:p>
    <w:p w:rsidR="008D3529" w:rsidRDefault="008D3529" w:rsidP="009041F1">
      <w:pPr>
        <w:tabs>
          <w:tab w:val="left" w:pos="284"/>
        </w:tabs>
        <w:jc w:val="lowKashida"/>
        <w:rPr>
          <w:b/>
          <w:bCs/>
          <w:color w:val="000000" w:themeColor="text1"/>
        </w:rPr>
      </w:pPr>
    </w:p>
    <w:p w:rsidR="0072226A" w:rsidRPr="0072226A" w:rsidRDefault="0072226A" w:rsidP="009041F1">
      <w:pPr>
        <w:tabs>
          <w:tab w:val="left" w:pos="284"/>
        </w:tabs>
        <w:jc w:val="lowKashida"/>
        <w:rPr>
          <w:rFonts w:cs="Simplified Arabic"/>
          <w:b/>
          <w:bCs/>
          <w:color w:val="000000" w:themeColor="text1"/>
        </w:rPr>
      </w:pPr>
      <w:r>
        <w:rPr>
          <w:b/>
          <w:bCs/>
          <w:color w:val="000000" w:themeColor="text1"/>
        </w:rPr>
        <w:lastRenderedPageBreak/>
        <w:t>3</w:t>
      </w:r>
      <w:r w:rsidRPr="0072226A">
        <w:rPr>
          <w:b/>
          <w:bCs/>
          <w:color w:val="000000" w:themeColor="text1"/>
        </w:rPr>
        <w:t xml:space="preserve">.   </w:t>
      </w:r>
      <w:r>
        <w:rPr>
          <w:rFonts w:cs="Simplified Arabic"/>
          <w:b/>
          <w:bCs/>
          <w:color w:val="000000" w:themeColor="text1"/>
        </w:rPr>
        <w:t>Information and Communication</w:t>
      </w:r>
      <w:r w:rsidRPr="0072226A">
        <w:rPr>
          <w:rFonts w:cs="Simplified Arabic"/>
          <w:b/>
          <w:bCs/>
          <w:color w:val="000000" w:themeColor="text1"/>
        </w:rPr>
        <w:t>:</w:t>
      </w:r>
    </w:p>
    <w:p w:rsidR="0072226A" w:rsidRPr="0072226A" w:rsidRDefault="0072226A" w:rsidP="009041F1">
      <w:pPr>
        <w:pStyle w:val="BodyText2"/>
        <w:numPr>
          <w:ilvl w:val="0"/>
          <w:numId w:val="15"/>
        </w:numPr>
        <w:tabs>
          <w:tab w:val="left" w:pos="284"/>
        </w:tabs>
        <w:bidi w:val="0"/>
        <w:ind w:left="284" w:hanging="284"/>
        <w:rPr>
          <w:color w:val="000000" w:themeColor="text1"/>
        </w:rPr>
      </w:pPr>
      <w:r w:rsidRPr="0072226A">
        <w:rPr>
          <w:color w:val="000000" w:themeColor="text1"/>
        </w:rPr>
        <w:t xml:space="preserve">There were </w:t>
      </w:r>
      <w:r>
        <w:rPr>
          <w:color w:val="000000" w:themeColor="text1"/>
        </w:rPr>
        <w:t>22</w:t>
      </w:r>
      <w:r w:rsidRPr="0072226A">
        <w:rPr>
          <w:color w:val="000000" w:themeColor="text1"/>
        </w:rPr>
        <w:t xml:space="preserve"> enterprises engaged in this sector in Jerusalem governorate with </w:t>
      </w:r>
      <w:r>
        <w:rPr>
          <w:color w:val="000000" w:themeColor="text1"/>
        </w:rPr>
        <w:t>27</w:t>
      </w:r>
      <w:r w:rsidRPr="0072226A">
        <w:rPr>
          <w:color w:val="000000" w:themeColor="text1"/>
        </w:rPr>
        <w:t xml:space="preserve"> employees.</w:t>
      </w:r>
    </w:p>
    <w:p w:rsidR="0072226A" w:rsidRPr="0072226A" w:rsidRDefault="0072226A" w:rsidP="009041F1">
      <w:pPr>
        <w:pStyle w:val="BodyText2"/>
        <w:bidi w:val="0"/>
        <w:rPr>
          <w:color w:val="000000" w:themeColor="text1"/>
          <w:sz w:val="10"/>
          <w:szCs w:val="10"/>
        </w:rPr>
      </w:pPr>
    </w:p>
    <w:p w:rsidR="0072226A" w:rsidRPr="0072226A" w:rsidRDefault="0072226A" w:rsidP="008D3529">
      <w:pPr>
        <w:pStyle w:val="BodyText2"/>
        <w:numPr>
          <w:ilvl w:val="0"/>
          <w:numId w:val="16"/>
        </w:numPr>
        <w:tabs>
          <w:tab w:val="clear" w:pos="0"/>
          <w:tab w:val="num" w:pos="284"/>
        </w:tabs>
        <w:bidi w:val="0"/>
        <w:ind w:left="284" w:hanging="284"/>
        <w:rPr>
          <w:color w:val="000000" w:themeColor="text1"/>
        </w:rPr>
      </w:pPr>
      <w:r w:rsidRPr="0072226A">
        <w:rPr>
          <w:color w:val="000000" w:themeColor="text1"/>
        </w:rPr>
        <w:t xml:space="preserve">The output value in Jerusalem governorate was USD </w:t>
      </w:r>
      <w:r w:rsidR="008D3529">
        <w:rPr>
          <w:color w:val="000000" w:themeColor="text1"/>
        </w:rPr>
        <w:t>431</w:t>
      </w:r>
      <w:r w:rsidRPr="0072226A">
        <w:rPr>
          <w:color w:val="000000" w:themeColor="text1"/>
        </w:rPr>
        <w:t>.</w:t>
      </w:r>
      <w:r>
        <w:rPr>
          <w:color w:val="000000" w:themeColor="text1"/>
        </w:rPr>
        <w:t>3</w:t>
      </w:r>
      <w:r w:rsidRPr="0072226A">
        <w:rPr>
          <w:color w:val="000000" w:themeColor="text1"/>
        </w:rPr>
        <w:t xml:space="preserve"> </w:t>
      </w:r>
      <w:r w:rsidR="008D3529">
        <w:rPr>
          <w:color w:val="000000" w:themeColor="text1"/>
        </w:rPr>
        <w:t>thousand</w:t>
      </w:r>
      <w:r w:rsidRPr="0072226A">
        <w:rPr>
          <w:color w:val="000000" w:themeColor="text1"/>
        </w:rPr>
        <w:t>.</w:t>
      </w:r>
    </w:p>
    <w:p w:rsidR="0072226A" w:rsidRPr="0072226A" w:rsidRDefault="0072226A" w:rsidP="009041F1">
      <w:pPr>
        <w:pStyle w:val="BodyText2"/>
        <w:bidi w:val="0"/>
        <w:rPr>
          <w:color w:val="000000" w:themeColor="text1"/>
          <w:sz w:val="10"/>
          <w:szCs w:val="10"/>
        </w:rPr>
      </w:pPr>
    </w:p>
    <w:p w:rsidR="0072226A" w:rsidRPr="0072226A" w:rsidRDefault="0072226A" w:rsidP="001930FC">
      <w:pPr>
        <w:pStyle w:val="BodyText2"/>
        <w:numPr>
          <w:ilvl w:val="0"/>
          <w:numId w:val="17"/>
        </w:numPr>
        <w:tabs>
          <w:tab w:val="clear" w:pos="0"/>
          <w:tab w:val="num" w:pos="284"/>
        </w:tabs>
        <w:bidi w:val="0"/>
        <w:ind w:left="284" w:hanging="284"/>
        <w:rPr>
          <w:color w:val="000000" w:themeColor="text1"/>
        </w:rPr>
      </w:pPr>
      <w:r w:rsidRPr="0072226A">
        <w:rPr>
          <w:color w:val="000000" w:themeColor="text1"/>
        </w:rPr>
        <w:t xml:space="preserve">The value added realized by the </w:t>
      </w:r>
      <w:r w:rsidR="00025A6A">
        <w:rPr>
          <w:color w:val="000000" w:themeColor="text1"/>
        </w:rPr>
        <w:t>information and communication activities</w:t>
      </w:r>
      <w:r w:rsidRPr="0072226A">
        <w:rPr>
          <w:color w:val="000000" w:themeColor="text1"/>
        </w:rPr>
        <w:t xml:space="preserve"> was USD </w:t>
      </w:r>
      <w:r w:rsidR="001930FC">
        <w:rPr>
          <w:color w:val="000000" w:themeColor="text1"/>
        </w:rPr>
        <w:t>266</w:t>
      </w:r>
      <w:r w:rsidRPr="0072226A">
        <w:rPr>
          <w:color w:val="000000" w:themeColor="text1"/>
        </w:rPr>
        <w:t>.</w:t>
      </w:r>
      <w:r>
        <w:rPr>
          <w:color w:val="000000" w:themeColor="text1"/>
        </w:rPr>
        <w:t>4</w:t>
      </w:r>
      <w:r w:rsidRPr="0072226A">
        <w:rPr>
          <w:color w:val="000000" w:themeColor="text1"/>
        </w:rPr>
        <w:t xml:space="preserve"> </w:t>
      </w:r>
      <w:r w:rsidR="001930FC">
        <w:rPr>
          <w:color w:val="000000" w:themeColor="text1"/>
        </w:rPr>
        <w:t>thousand</w:t>
      </w:r>
      <w:r w:rsidRPr="0072226A">
        <w:rPr>
          <w:color w:val="000000" w:themeColor="text1"/>
        </w:rPr>
        <w:t>.</w:t>
      </w:r>
    </w:p>
    <w:p w:rsidR="00DC6E93" w:rsidRDefault="00DC6E93" w:rsidP="00F95733">
      <w:pPr>
        <w:jc w:val="center"/>
        <w:rPr>
          <w:rFonts w:ascii="Arial" w:hAnsi="Arial" w:cs="Arial"/>
          <w:b/>
          <w:bCs/>
          <w:color w:val="000000" w:themeColor="text1"/>
          <w:sz w:val="18"/>
          <w:szCs w:val="18"/>
        </w:rPr>
      </w:pPr>
    </w:p>
    <w:p w:rsidR="00F95733" w:rsidRPr="00874B59" w:rsidRDefault="00F95733" w:rsidP="00F95733">
      <w:pPr>
        <w:jc w:val="center"/>
        <w:rPr>
          <w:rFonts w:ascii="Arial" w:hAnsi="Arial" w:cs="Arial"/>
          <w:b/>
          <w:bCs/>
          <w:color w:val="000000" w:themeColor="text1"/>
          <w:sz w:val="18"/>
          <w:szCs w:val="18"/>
        </w:rPr>
      </w:pPr>
      <w:r w:rsidRPr="00874B59">
        <w:rPr>
          <w:rFonts w:ascii="Arial" w:hAnsi="Arial" w:cs="Arial"/>
          <w:b/>
          <w:bCs/>
          <w:color w:val="000000" w:themeColor="text1"/>
          <w:sz w:val="18"/>
          <w:szCs w:val="18"/>
        </w:rPr>
        <w:t xml:space="preserve">Main Economic Indicators </w:t>
      </w:r>
      <w:r w:rsidRPr="00F30BCE">
        <w:rPr>
          <w:rFonts w:ascii="Arial" w:hAnsi="Arial" w:cs="Arial"/>
          <w:b/>
          <w:bCs/>
          <w:color w:val="000000" w:themeColor="text1"/>
          <w:sz w:val="18"/>
          <w:szCs w:val="18"/>
        </w:rPr>
        <w:t xml:space="preserve">for Information and </w:t>
      </w:r>
      <w:r w:rsidR="00FB7CB6">
        <w:rPr>
          <w:rFonts w:ascii="Arial" w:hAnsi="Arial" w:cs="Arial"/>
          <w:b/>
          <w:bCs/>
          <w:color w:val="000000" w:themeColor="text1"/>
          <w:sz w:val="18"/>
          <w:szCs w:val="18"/>
        </w:rPr>
        <w:t>C</w:t>
      </w:r>
      <w:r w:rsidRPr="00F30BCE">
        <w:rPr>
          <w:rFonts w:ascii="Arial" w:hAnsi="Arial" w:cs="Arial"/>
          <w:b/>
          <w:bCs/>
          <w:color w:val="000000" w:themeColor="text1"/>
          <w:sz w:val="18"/>
          <w:szCs w:val="18"/>
        </w:rPr>
        <w:t>ommunication</w:t>
      </w:r>
      <w:r w:rsidRPr="00F30BCE">
        <w:rPr>
          <w:rFonts w:ascii="Arial" w:hAnsi="Arial" w:cs="Arial" w:hint="cs"/>
          <w:b/>
          <w:bCs/>
          <w:color w:val="000000" w:themeColor="text1"/>
          <w:sz w:val="18"/>
          <w:szCs w:val="18"/>
          <w:rtl/>
        </w:rPr>
        <w:t xml:space="preserve"> </w:t>
      </w:r>
      <w:r w:rsidRPr="00F30BCE">
        <w:rPr>
          <w:rFonts w:ascii="Arial" w:hAnsi="Arial" w:cs="Arial"/>
          <w:b/>
          <w:bCs/>
          <w:color w:val="000000" w:themeColor="text1"/>
          <w:sz w:val="18"/>
          <w:szCs w:val="18"/>
        </w:rPr>
        <w:t>Activities</w:t>
      </w:r>
      <w:r w:rsidRPr="00874B59">
        <w:rPr>
          <w:rFonts w:ascii="Arial" w:hAnsi="Arial" w:cs="Arial"/>
          <w:b/>
          <w:bCs/>
          <w:color w:val="000000" w:themeColor="text1"/>
          <w:sz w:val="18"/>
          <w:szCs w:val="18"/>
        </w:rPr>
        <w:t xml:space="preserve"> in Jerusalem Governorate, 2012</w:t>
      </w:r>
    </w:p>
    <w:p w:rsidR="00F95733" w:rsidRPr="00361904" w:rsidRDefault="00F95733" w:rsidP="00F95733">
      <w:pPr>
        <w:rPr>
          <w:rFonts w:ascii="Arial" w:hAnsi="Arial" w:cs="Arial"/>
          <w:sz w:val="14"/>
          <w:szCs w:val="14"/>
          <w:rtl/>
        </w:rPr>
      </w:pPr>
      <w:r w:rsidRPr="00361904">
        <w:rPr>
          <w:rFonts w:cs="Simplified Arabic" w:hint="cs"/>
          <w:sz w:val="14"/>
          <w:szCs w:val="14"/>
          <w:rtl/>
        </w:rPr>
        <w:t xml:space="preserve">   </w:t>
      </w:r>
      <w:r w:rsidRPr="00361904">
        <w:rPr>
          <w:rFonts w:ascii="Arial" w:hAnsi="Arial" w:cs="Simplified Arabic"/>
          <w:sz w:val="14"/>
          <w:szCs w:val="14"/>
        </w:rPr>
        <w:t>(Value in 1000 USD)</w:t>
      </w:r>
    </w:p>
    <w:p w:rsidR="00F95733" w:rsidRPr="00361904" w:rsidRDefault="000B651A" w:rsidP="00F95733">
      <w:pPr>
        <w:jc w:val="center"/>
        <w:rPr>
          <w:rFonts w:ascii="Arial" w:hAnsi="Arial" w:cs="Arial"/>
          <w:b/>
          <w:bCs/>
          <w:rtl/>
        </w:rPr>
      </w:pPr>
      <w:r w:rsidRPr="000B651A">
        <w:rPr>
          <w:rFonts w:cs="Simplified Arabic"/>
          <w:sz w:val="16"/>
          <w:szCs w:val="16"/>
          <w:rtl/>
        </w:rPr>
        <w:pict>
          <v:rect id="_x0000_s1027" style="position:absolute;left:0;text-align:left;margin-left:297.55pt;margin-top:164.4pt;width:49.2pt;height:17.65pt;z-index:251663360" filled="f" stroked="f">
            <v:textbox>
              <w:txbxContent>
                <w:p w:rsidR="00E30F21" w:rsidRPr="00DD0B50" w:rsidRDefault="00E30F21" w:rsidP="00F95733">
                  <w:pPr>
                    <w:rPr>
                      <w:rFonts w:ascii="Arial" w:hAnsi="Arial" w:cs="Arial"/>
                      <w:sz w:val="15"/>
                      <w:szCs w:val="15"/>
                    </w:rPr>
                  </w:pPr>
                </w:p>
              </w:txbxContent>
            </v:textbox>
            <w10:wrap anchorx="page"/>
          </v:rect>
        </w:pict>
      </w:r>
      <w:r w:rsidR="00F95733" w:rsidRPr="00F95733">
        <w:rPr>
          <w:rFonts w:ascii="Arial" w:hAnsi="Arial" w:cs="Arial"/>
          <w:b/>
          <w:bCs/>
          <w:noProof/>
          <w:bdr w:val="single" w:sz="4" w:space="0" w:color="auto"/>
          <w:rtl/>
        </w:rPr>
        <w:drawing>
          <wp:inline distT="0" distB="0" distL="0" distR="0">
            <wp:extent cx="4681182" cy="2122227"/>
            <wp:effectExtent l="0" t="0" r="0" b="0"/>
            <wp:docPr id="1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95733" w:rsidRPr="0072226A" w:rsidRDefault="00F95733" w:rsidP="00F95733">
      <w:pPr>
        <w:pStyle w:val="BodyText2"/>
        <w:tabs>
          <w:tab w:val="left" w:pos="284"/>
        </w:tabs>
        <w:bidi w:val="0"/>
        <w:jc w:val="both"/>
        <w:rPr>
          <w:color w:val="000000" w:themeColor="text1"/>
        </w:rPr>
      </w:pPr>
    </w:p>
    <w:p w:rsidR="002A6117" w:rsidRPr="0072226A" w:rsidRDefault="002A6117" w:rsidP="009041F1">
      <w:pPr>
        <w:jc w:val="lowKashida"/>
        <w:rPr>
          <w:rFonts w:cs="Simplified Arabic"/>
          <w:b/>
          <w:bCs/>
          <w:i/>
          <w:iCs/>
          <w:color w:val="000000" w:themeColor="text1"/>
        </w:rPr>
      </w:pPr>
      <w:r w:rsidRPr="0072226A">
        <w:rPr>
          <w:rFonts w:cs="Simplified Arabic"/>
          <w:b/>
          <w:bCs/>
          <w:color w:val="000000" w:themeColor="text1"/>
        </w:rPr>
        <w:t xml:space="preserve">Construction Sector </w:t>
      </w:r>
    </w:p>
    <w:p w:rsidR="002A6117" w:rsidRPr="0072226A" w:rsidRDefault="00FB7CB6" w:rsidP="009041F1">
      <w:pPr>
        <w:pStyle w:val="BodyText2"/>
        <w:numPr>
          <w:ilvl w:val="0"/>
          <w:numId w:val="37"/>
        </w:numPr>
        <w:tabs>
          <w:tab w:val="left" w:pos="284"/>
        </w:tabs>
        <w:bidi w:val="0"/>
        <w:ind w:left="284" w:hanging="284"/>
        <w:rPr>
          <w:b/>
          <w:bCs/>
          <w:color w:val="000000" w:themeColor="text1"/>
        </w:rPr>
      </w:pPr>
      <w:r>
        <w:rPr>
          <w:color w:val="000000" w:themeColor="text1"/>
        </w:rPr>
        <w:t xml:space="preserve">In 2013, </w:t>
      </w:r>
      <w:r w:rsidR="002A6117" w:rsidRPr="0072226A">
        <w:rPr>
          <w:rFonts w:cs="Times New Roman" w:hint="cs"/>
          <w:color w:val="000000" w:themeColor="text1"/>
          <w:rtl/>
        </w:rPr>
        <w:t>131</w:t>
      </w:r>
      <w:r w:rsidR="002A6117" w:rsidRPr="0072226A">
        <w:rPr>
          <w:color w:val="000000" w:themeColor="text1"/>
        </w:rPr>
        <w:t xml:space="preserve"> building licenses </w:t>
      </w:r>
      <w:r>
        <w:rPr>
          <w:color w:val="000000" w:themeColor="text1"/>
        </w:rPr>
        <w:t xml:space="preserve">were </w:t>
      </w:r>
      <w:r w:rsidR="002A6117" w:rsidRPr="0072226A">
        <w:rPr>
          <w:color w:val="000000" w:themeColor="text1"/>
        </w:rPr>
        <w:t xml:space="preserve">issued in Jerusalem governorate for residential buildings in J2 with an area of </w:t>
      </w:r>
      <w:r w:rsidR="002A6117" w:rsidRPr="0072226A">
        <w:rPr>
          <w:rFonts w:hint="cs"/>
          <w:color w:val="000000" w:themeColor="text1"/>
          <w:rtl/>
        </w:rPr>
        <w:t>84</w:t>
      </w:r>
      <w:r w:rsidR="002A6117" w:rsidRPr="0072226A">
        <w:rPr>
          <w:color w:val="000000" w:themeColor="text1"/>
        </w:rPr>
        <w:t xml:space="preserve"> thousand m</w:t>
      </w:r>
      <w:r w:rsidR="002A6117" w:rsidRPr="0072226A">
        <w:rPr>
          <w:color w:val="000000" w:themeColor="text1"/>
          <w:vertAlign w:val="superscript"/>
        </w:rPr>
        <w:t>2</w:t>
      </w:r>
      <w:r w:rsidR="002A6117" w:rsidRPr="0072226A">
        <w:rPr>
          <w:color w:val="000000" w:themeColor="text1"/>
        </w:rPr>
        <w:t>.</w:t>
      </w:r>
    </w:p>
    <w:p w:rsidR="002A6117" w:rsidRPr="0072226A" w:rsidRDefault="002A6117" w:rsidP="009041F1">
      <w:pPr>
        <w:pStyle w:val="BodyText2"/>
        <w:tabs>
          <w:tab w:val="left" w:pos="284"/>
        </w:tabs>
        <w:bidi w:val="0"/>
        <w:rPr>
          <w:b/>
          <w:bCs/>
          <w:color w:val="000000" w:themeColor="text1"/>
        </w:rPr>
      </w:pPr>
    </w:p>
    <w:p w:rsidR="002A6117" w:rsidRDefault="002A6117" w:rsidP="009A6E82">
      <w:pPr>
        <w:pStyle w:val="BodyText2"/>
        <w:numPr>
          <w:ilvl w:val="0"/>
          <w:numId w:val="37"/>
        </w:numPr>
        <w:tabs>
          <w:tab w:val="left" w:pos="284"/>
        </w:tabs>
        <w:bidi w:val="0"/>
        <w:ind w:left="284" w:hanging="284"/>
        <w:rPr>
          <w:b/>
          <w:bCs/>
          <w:color w:val="000000" w:themeColor="text1"/>
        </w:rPr>
      </w:pPr>
      <w:r w:rsidRPr="0072226A">
        <w:rPr>
          <w:color w:val="000000" w:themeColor="text1"/>
        </w:rPr>
        <w:t xml:space="preserve">There were </w:t>
      </w:r>
      <w:r w:rsidRPr="0072226A">
        <w:rPr>
          <w:rFonts w:hint="cs"/>
          <w:color w:val="000000" w:themeColor="text1"/>
          <w:rtl/>
        </w:rPr>
        <w:t>31</w:t>
      </w:r>
      <w:r w:rsidRPr="0072226A">
        <w:rPr>
          <w:color w:val="000000" w:themeColor="text1"/>
        </w:rPr>
        <w:t xml:space="preserve"> licenses issued for non-residential purposes in Jerusalem governorate J2 comprising about </w:t>
      </w:r>
      <w:r w:rsidRPr="0072226A">
        <w:rPr>
          <w:rFonts w:cs="Times New Roman" w:hint="cs"/>
          <w:color w:val="000000" w:themeColor="text1"/>
          <w:rtl/>
        </w:rPr>
        <w:t>26.</w:t>
      </w:r>
      <w:r w:rsidR="009A6E82">
        <w:rPr>
          <w:rFonts w:cs="Times New Roman" w:hint="cs"/>
          <w:color w:val="000000" w:themeColor="text1"/>
          <w:rtl/>
        </w:rPr>
        <w:t>9</w:t>
      </w:r>
      <w:r w:rsidRPr="0072226A">
        <w:rPr>
          <w:rFonts w:cs="Times New Roman"/>
          <w:color w:val="000000" w:themeColor="text1"/>
        </w:rPr>
        <w:t xml:space="preserve"> </w:t>
      </w:r>
      <w:r w:rsidRPr="0072226A">
        <w:rPr>
          <w:color w:val="000000" w:themeColor="text1"/>
        </w:rPr>
        <w:t>thousand m</w:t>
      </w:r>
      <w:r w:rsidRPr="0072226A">
        <w:rPr>
          <w:color w:val="000000" w:themeColor="text1"/>
          <w:vertAlign w:val="superscript"/>
        </w:rPr>
        <w:t>2</w:t>
      </w:r>
      <w:r w:rsidRPr="0072226A">
        <w:rPr>
          <w:color w:val="000000" w:themeColor="text1"/>
        </w:rPr>
        <w:t xml:space="preserve"> of new area.</w:t>
      </w:r>
    </w:p>
    <w:p w:rsidR="0072226A" w:rsidRPr="0072226A" w:rsidRDefault="0072226A" w:rsidP="009041F1">
      <w:pPr>
        <w:pStyle w:val="BodyText2"/>
        <w:tabs>
          <w:tab w:val="left" w:pos="284"/>
        </w:tabs>
        <w:bidi w:val="0"/>
        <w:rPr>
          <w:b/>
          <w:bCs/>
          <w:color w:val="000000" w:themeColor="text1"/>
        </w:rPr>
      </w:pPr>
    </w:p>
    <w:p w:rsidR="0072226A" w:rsidRPr="0072226A" w:rsidRDefault="0072226A" w:rsidP="009041F1">
      <w:pPr>
        <w:pStyle w:val="BodyText2"/>
        <w:numPr>
          <w:ilvl w:val="0"/>
          <w:numId w:val="15"/>
        </w:numPr>
        <w:tabs>
          <w:tab w:val="left" w:pos="284"/>
        </w:tabs>
        <w:bidi w:val="0"/>
        <w:ind w:left="284" w:hanging="284"/>
        <w:rPr>
          <w:color w:val="000000" w:themeColor="text1"/>
        </w:rPr>
      </w:pPr>
      <w:r w:rsidRPr="0072226A">
        <w:rPr>
          <w:color w:val="000000" w:themeColor="text1"/>
        </w:rPr>
        <w:t>There were 11 enterprises engaged in this sector in Jerusalem governorate with 27 employees.</w:t>
      </w:r>
    </w:p>
    <w:p w:rsidR="0072226A" w:rsidRPr="0072226A" w:rsidRDefault="0072226A" w:rsidP="009041F1">
      <w:pPr>
        <w:pStyle w:val="BodyText2"/>
        <w:bidi w:val="0"/>
        <w:rPr>
          <w:color w:val="000000" w:themeColor="text1"/>
          <w:sz w:val="10"/>
          <w:szCs w:val="10"/>
        </w:rPr>
      </w:pPr>
    </w:p>
    <w:p w:rsidR="0072226A" w:rsidRPr="0072226A" w:rsidRDefault="0072226A" w:rsidP="009041F1">
      <w:pPr>
        <w:pStyle w:val="BodyText2"/>
        <w:numPr>
          <w:ilvl w:val="0"/>
          <w:numId w:val="16"/>
        </w:numPr>
        <w:tabs>
          <w:tab w:val="clear" w:pos="0"/>
          <w:tab w:val="num" w:pos="284"/>
        </w:tabs>
        <w:bidi w:val="0"/>
        <w:ind w:left="284" w:hanging="284"/>
        <w:rPr>
          <w:color w:val="000000" w:themeColor="text1"/>
        </w:rPr>
      </w:pPr>
      <w:r w:rsidRPr="0072226A">
        <w:rPr>
          <w:color w:val="000000" w:themeColor="text1"/>
        </w:rPr>
        <w:t>The output value in Jerusalem governorate was USD 0.5 million.</w:t>
      </w:r>
    </w:p>
    <w:p w:rsidR="0072226A" w:rsidRPr="0072226A" w:rsidRDefault="0072226A" w:rsidP="009041F1">
      <w:pPr>
        <w:pStyle w:val="BodyText2"/>
        <w:bidi w:val="0"/>
        <w:rPr>
          <w:color w:val="000000" w:themeColor="text1"/>
          <w:sz w:val="10"/>
          <w:szCs w:val="10"/>
        </w:rPr>
      </w:pPr>
    </w:p>
    <w:p w:rsidR="0072226A" w:rsidRPr="0072226A" w:rsidRDefault="0072226A" w:rsidP="009041F1">
      <w:pPr>
        <w:pStyle w:val="BodyText2"/>
        <w:numPr>
          <w:ilvl w:val="0"/>
          <w:numId w:val="17"/>
        </w:numPr>
        <w:tabs>
          <w:tab w:val="clear" w:pos="0"/>
          <w:tab w:val="num" w:pos="284"/>
        </w:tabs>
        <w:bidi w:val="0"/>
        <w:ind w:left="284" w:hanging="284"/>
        <w:rPr>
          <w:color w:val="000000" w:themeColor="text1"/>
        </w:rPr>
      </w:pPr>
      <w:r w:rsidRPr="0072226A">
        <w:rPr>
          <w:color w:val="000000" w:themeColor="text1"/>
        </w:rPr>
        <w:t xml:space="preserve">The value added realized by the </w:t>
      </w:r>
      <w:r w:rsidR="00025A6A">
        <w:rPr>
          <w:color w:val="000000" w:themeColor="text1"/>
        </w:rPr>
        <w:t>construction</w:t>
      </w:r>
      <w:r w:rsidRPr="0072226A">
        <w:rPr>
          <w:color w:val="000000" w:themeColor="text1"/>
        </w:rPr>
        <w:t xml:space="preserve"> sector was USD 0.4 million.</w:t>
      </w:r>
    </w:p>
    <w:p w:rsidR="0090200E" w:rsidRDefault="0090200E" w:rsidP="009041F1">
      <w:pPr>
        <w:tabs>
          <w:tab w:val="num" w:pos="0"/>
          <w:tab w:val="left" w:pos="284"/>
        </w:tabs>
        <w:jc w:val="lowKashida"/>
        <w:rPr>
          <w:rFonts w:cs="Simplified Arabic"/>
          <w:b/>
          <w:bCs/>
          <w:color w:val="000000" w:themeColor="text1"/>
        </w:rPr>
      </w:pPr>
    </w:p>
    <w:p w:rsidR="002A6117" w:rsidRPr="00CC6BAC" w:rsidRDefault="002A6117" w:rsidP="009041F1">
      <w:pPr>
        <w:tabs>
          <w:tab w:val="num" w:pos="0"/>
          <w:tab w:val="left" w:pos="284"/>
        </w:tabs>
        <w:jc w:val="lowKashida"/>
        <w:rPr>
          <w:rFonts w:cs="Simplified Arabic"/>
          <w:b/>
          <w:bCs/>
          <w:color w:val="000000" w:themeColor="text1"/>
        </w:rPr>
      </w:pPr>
      <w:r w:rsidRPr="00CC6BAC">
        <w:rPr>
          <w:rFonts w:cs="Simplified Arabic"/>
          <w:b/>
          <w:bCs/>
          <w:color w:val="000000" w:themeColor="text1"/>
        </w:rPr>
        <w:t>Industrial Sector</w:t>
      </w:r>
      <w:r w:rsidR="0072226A" w:rsidRPr="00CC6BAC">
        <w:rPr>
          <w:rFonts w:cs="Simplified Arabic"/>
          <w:b/>
          <w:bCs/>
          <w:color w:val="000000" w:themeColor="text1"/>
        </w:rPr>
        <w:t xml:space="preserve"> </w:t>
      </w:r>
    </w:p>
    <w:p w:rsidR="002A6117" w:rsidRPr="00CC6BAC" w:rsidRDefault="002A6117" w:rsidP="009041F1">
      <w:pPr>
        <w:pStyle w:val="BodyText2"/>
        <w:numPr>
          <w:ilvl w:val="0"/>
          <w:numId w:val="14"/>
        </w:numPr>
        <w:tabs>
          <w:tab w:val="left" w:pos="284"/>
        </w:tabs>
        <w:bidi w:val="0"/>
        <w:ind w:left="284" w:hanging="284"/>
        <w:rPr>
          <w:color w:val="000000" w:themeColor="text1"/>
        </w:rPr>
      </w:pPr>
      <w:r w:rsidRPr="008B22EF">
        <w:rPr>
          <w:color w:val="000000" w:themeColor="text1"/>
        </w:rPr>
        <w:t xml:space="preserve"> </w:t>
      </w:r>
      <w:r w:rsidRPr="00CC6BAC">
        <w:rPr>
          <w:color w:val="000000" w:themeColor="text1"/>
        </w:rPr>
        <w:t>There were 980 industrial enterprises in Jerusalem governorate with 5,142 employees   in 2012.</w:t>
      </w:r>
    </w:p>
    <w:p w:rsidR="002A6117" w:rsidRPr="00CC6BAC" w:rsidRDefault="002A6117" w:rsidP="009041F1">
      <w:pPr>
        <w:pStyle w:val="BodyText2"/>
        <w:tabs>
          <w:tab w:val="left" w:pos="284"/>
        </w:tabs>
        <w:bidi w:val="0"/>
        <w:rPr>
          <w:color w:val="000000" w:themeColor="text1"/>
          <w:sz w:val="10"/>
          <w:szCs w:val="10"/>
        </w:rPr>
      </w:pPr>
    </w:p>
    <w:p w:rsidR="002A6117" w:rsidRPr="00CC6BAC" w:rsidRDefault="002A6117" w:rsidP="009041F1">
      <w:pPr>
        <w:pStyle w:val="BodyText2"/>
        <w:numPr>
          <w:ilvl w:val="0"/>
          <w:numId w:val="14"/>
        </w:numPr>
        <w:tabs>
          <w:tab w:val="left" w:pos="284"/>
        </w:tabs>
        <w:bidi w:val="0"/>
        <w:ind w:left="284" w:hanging="284"/>
        <w:rPr>
          <w:color w:val="000000" w:themeColor="text1"/>
        </w:rPr>
      </w:pPr>
      <w:r w:rsidRPr="00CC6BAC">
        <w:rPr>
          <w:color w:val="000000" w:themeColor="text1"/>
        </w:rPr>
        <w:t>The output value of these enterprises was USD 466.0 million.</w:t>
      </w:r>
    </w:p>
    <w:p w:rsidR="002A6117" w:rsidRPr="00CC6BAC" w:rsidRDefault="002A6117" w:rsidP="009041F1">
      <w:pPr>
        <w:pStyle w:val="BodyText2"/>
        <w:tabs>
          <w:tab w:val="left" w:pos="284"/>
        </w:tabs>
        <w:bidi w:val="0"/>
        <w:rPr>
          <w:color w:val="000000" w:themeColor="text1"/>
          <w:sz w:val="10"/>
          <w:szCs w:val="10"/>
        </w:rPr>
      </w:pPr>
    </w:p>
    <w:p w:rsidR="002A6117" w:rsidRPr="00CC6BAC" w:rsidRDefault="002A6117" w:rsidP="009041F1">
      <w:pPr>
        <w:pStyle w:val="BodyText2"/>
        <w:numPr>
          <w:ilvl w:val="0"/>
          <w:numId w:val="14"/>
        </w:numPr>
        <w:tabs>
          <w:tab w:val="left" w:pos="284"/>
        </w:tabs>
        <w:bidi w:val="0"/>
        <w:ind w:left="284" w:hanging="284"/>
        <w:rPr>
          <w:color w:val="000000" w:themeColor="text1"/>
        </w:rPr>
      </w:pPr>
      <w:r w:rsidRPr="00CC6BAC">
        <w:rPr>
          <w:color w:val="000000" w:themeColor="text1"/>
        </w:rPr>
        <w:t>The value added realized by the industrial sector was USD</w:t>
      </w:r>
      <w:r w:rsidRPr="00CC6BAC">
        <w:rPr>
          <w:rFonts w:hint="cs"/>
          <w:color w:val="000000" w:themeColor="text1"/>
          <w:rtl/>
        </w:rPr>
        <w:t xml:space="preserve"> </w:t>
      </w:r>
      <w:r w:rsidRPr="00CC6BAC">
        <w:rPr>
          <w:color w:val="000000" w:themeColor="text1"/>
        </w:rPr>
        <w:t>298.6</w:t>
      </w:r>
      <w:r w:rsidRPr="00CC6BAC">
        <w:rPr>
          <w:rFonts w:hint="cs"/>
          <w:color w:val="000000" w:themeColor="text1"/>
          <w:rtl/>
        </w:rPr>
        <w:t xml:space="preserve"> </w:t>
      </w:r>
      <w:r w:rsidRPr="00CC6BAC">
        <w:rPr>
          <w:color w:val="000000" w:themeColor="text1"/>
        </w:rPr>
        <w:t>million.</w:t>
      </w:r>
    </w:p>
    <w:p w:rsidR="00200E47" w:rsidRDefault="00200E47" w:rsidP="00396F32">
      <w:pPr>
        <w:jc w:val="center"/>
        <w:rPr>
          <w:rFonts w:ascii="Arial" w:hAnsi="Arial" w:cs="Arial"/>
          <w:b/>
          <w:bCs/>
          <w:color w:val="000000" w:themeColor="text1"/>
          <w:sz w:val="18"/>
          <w:szCs w:val="18"/>
        </w:rPr>
      </w:pPr>
    </w:p>
    <w:p w:rsidR="00200E47" w:rsidRDefault="00200E47" w:rsidP="00396F32">
      <w:pPr>
        <w:jc w:val="center"/>
        <w:rPr>
          <w:rFonts w:ascii="Arial" w:hAnsi="Arial" w:cs="Arial"/>
          <w:b/>
          <w:bCs/>
          <w:color w:val="000000" w:themeColor="text1"/>
          <w:sz w:val="18"/>
          <w:szCs w:val="18"/>
        </w:rPr>
      </w:pPr>
    </w:p>
    <w:p w:rsidR="00200E47" w:rsidRDefault="00200E47" w:rsidP="00396F32">
      <w:pPr>
        <w:jc w:val="center"/>
        <w:rPr>
          <w:rFonts w:ascii="Arial" w:hAnsi="Arial" w:cs="Arial"/>
          <w:b/>
          <w:bCs/>
          <w:color w:val="000000" w:themeColor="text1"/>
          <w:sz w:val="18"/>
          <w:szCs w:val="18"/>
        </w:rPr>
      </w:pPr>
    </w:p>
    <w:p w:rsidR="00200E47" w:rsidRDefault="00200E47" w:rsidP="00396F32">
      <w:pPr>
        <w:jc w:val="center"/>
        <w:rPr>
          <w:rFonts w:ascii="Arial" w:hAnsi="Arial" w:cs="Arial"/>
          <w:b/>
          <w:bCs/>
          <w:color w:val="000000" w:themeColor="text1"/>
          <w:sz w:val="18"/>
          <w:szCs w:val="18"/>
        </w:rPr>
      </w:pPr>
    </w:p>
    <w:p w:rsidR="00396F32" w:rsidRPr="00511A87" w:rsidRDefault="00396F32" w:rsidP="00396F32">
      <w:pPr>
        <w:jc w:val="center"/>
        <w:rPr>
          <w:rFonts w:ascii="Arial" w:hAnsi="Arial" w:cs="Arial"/>
          <w:b/>
          <w:bCs/>
          <w:color w:val="000000" w:themeColor="text1"/>
          <w:sz w:val="18"/>
          <w:szCs w:val="18"/>
        </w:rPr>
      </w:pPr>
      <w:r w:rsidRPr="00511A87">
        <w:rPr>
          <w:rFonts w:ascii="Arial" w:hAnsi="Arial" w:cs="Arial"/>
          <w:b/>
          <w:bCs/>
          <w:color w:val="000000" w:themeColor="text1"/>
          <w:sz w:val="18"/>
          <w:szCs w:val="18"/>
        </w:rPr>
        <w:lastRenderedPageBreak/>
        <w:t>Main Economic Indicators for Industrial Activities in Jerusalem Governorate, 2012</w:t>
      </w:r>
    </w:p>
    <w:p w:rsidR="00396F32" w:rsidRPr="00511A87" w:rsidRDefault="00396F32" w:rsidP="00396F32">
      <w:pPr>
        <w:jc w:val="center"/>
        <w:rPr>
          <w:rFonts w:ascii="Arial" w:hAnsi="Arial" w:cs="Arial"/>
          <w:b/>
          <w:bCs/>
          <w:color w:val="000000" w:themeColor="text1"/>
          <w:sz w:val="8"/>
          <w:szCs w:val="8"/>
          <w:rtl/>
        </w:rPr>
      </w:pPr>
    </w:p>
    <w:p w:rsidR="00396F32" w:rsidRPr="00511A87" w:rsidRDefault="00396F32" w:rsidP="00396F32">
      <w:pPr>
        <w:rPr>
          <w:rFonts w:ascii="Arial" w:hAnsi="Arial" w:cs="Arial"/>
          <w:color w:val="000000" w:themeColor="text1"/>
          <w:sz w:val="14"/>
          <w:szCs w:val="14"/>
          <w:rtl/>
        </w:rPr>
      </w:pPr>
      <w:r w:rsidRPr="00511A87">
        <w:rPr>
          <w:rFonts w:cs="Simplified Arabic" w:hint="cs"/>
          <w:color w:val="000000" w:themeColor="text1"/>
          <w:sz w:val="14"/>
          <w:szCs w:val="14"/>
          <w:rtl/>
        </w:rPr>
        <w:t xml:space="preserve">  </w:t>
      </w:r>
      <w:r w:rsidRPr="00511A87">
        <w:rPr>
          <w:rFonts w:ascii="Arial" w:hAnsi="Arial" w:cs="Simplified Arabic"/>
          <w:color w:val="000000" w:themeColor="text1"/>
          <w:sz w:val="14"/>
          <w:szCs w:val="14"/>
        </w:rPr>
        <w:t>(Value in 1000 USD)</w:t>
      </w:r>
    </w:p>
    <w:p w:rsidR="00396F32" w:rsidRPr="00361904" w:rsidRDefault="000B651A" w:rsidP="00396F32">
      <w:pPr>
        <w:jc w:val="center"/>
        <w:rPr>
          <w:rFonts w:ascii="Arial" w:hAnsi="Arial" w:cs="Arial"/>
          <w:b/>
          <w:bCs/>
          <w:rtl/>
        </w:rPr>
      </w:pPr>
      <w:r w:rsidRPr="000B651A">
        <w:rPr>
          <w:rFonts w:cs="Simplified Arabic"/>
          <w:sz w:val="16"/>
          <w:szCs w:val="16"/>
          <w:rtl/>
        </w:rPr>
        <w:pict>
          <v:rect id="_x0000_s1026" style="position:absolute;left:0;text-align:left;margin-left:297.55pt;margin-top:164.4pt;width:49.2pt;height:17.65pt;z-index:251661312" filled="f" stroked="f">
            <v:textbox>
              <w:txbxContent>
                <w:p w:rsidR="00E30F21" w:rsidRPr="00DD0B50" w:rsidRDefault="00E30F21" w:rsidP="00396F32">
                  <w:pPr>
                    <w:rPr>
                      <w:rFonts w:ascii="Arial" w:hAnsi="Arial" w:cs="Arial"/>
                      <w:sz w:val="15"/>
                      <w:szCs w:val="15"/>
                    </w:rPr>
                  </w:pPr>
                </w:p>
              </w:txbxContent>
            </v:textbox>
            <w10:wrap anchorx="page"/>
          </v:rect>
        </w:pict>
      </w:r>
      <w:r w:rsidR="00396F32" w:rsidRPr="00396F32">
        <w:rPr>
          <w:rFonts w:ascii="Arial" w:hAnsi="Arial" w:cs="Arial"/>
          <w:b/>
          <w:bCs/>
          <w:noProof/>
          <w:bdr w:val="single" w:sz="4" w:space="0" w:color="auto"/>
          <w:rtl/>
        </w:rPr>
        <w:drawing>
          <wp:inline distT="0" distB="0" distL="0" distR="0">
            <wp:extent cx="4681182" cy="2060812"/>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96F32" w:rsidRPr="00456322" w:rsidRDefault="00396F32" w:rsidP="002A6117">
      <w:pPr>
        <w:tabs>
          <w:tab w:val="left" w:pos="284"/>
        </w:tabs>
        <w:jc w:val="both"/>
        <w:rPr>
          <w:b/>
          <w:bCs/>
          <w:color w:val="FF0000"/>
        </w:rPr>
      </w:pPr>
    </w:p>
    <w:p w:rsidR="002D5E37" w:rsidRPr="003C2326" w:rsidRDefault="002D5E37" w:rsidP="009041F1">
      <w:pPr>
        <w:tabs>
          <w:tab w:val="left" w:pos="284"/>
        </w:tabs>
        <w:jc w:val="lowKashida"/>
        <w:rPr>
          <w:b/>
          <w:bCs/>
          <w:i/>
          <w:iCs/>
          <w:color w:val="000000" w:themeColor="text1"/>
        </w:rPr>
      </w:pPr>
      <w:r w:rsidRPr="003C2326">
        <w:rPr>
          <w:b/>
          <w:bCs/>
          <w:color w:val="000000" w:themeColor="text1"/>
        </w:rPr>
        <w:t xml:space="preserve">Tourism </w:t>
      </w:r>
    </w:p>
    <w:p w:rsidR="000B7C15" w:rsidRDefault="000B7C15" w:rsidP="009041F1">
      <w:pPr>
        <w:pStyle w:val="BodyText2"/>
        <w:numPr>
          <w:ilvl w:val="0"/>
          <w:numId w:val="15"/>
        </w:numPr>
        <w:tabs>
          <w:tab w:val="left" w:pos="284"/>
        </w:tabs>
        <w:bidi w:val="0"/>
        <w:ind w:left="284" w:hanging="284"/>
        <w:rPr>
          <w:color w:val="000000" w:themeColor="text1"/>
        </w:rPr>
      </w:pPr>
      <w:r w:rsidRPr="003C2326">
        <w:rPr>
          <w:color w:val="000000" w:themeColor="text1"/>
        </w:rPr>
        <w:t>There were 28 hotels in operation in December 2013 with 1, 572 rooms and 3,490 beds in Jerusalem</w:t>
      </w:r>
      <w:r w:rsidR="00D91E82">
        <w:rPr>
          <w:color w:val="000000" w:themeColor="text1"/>
        </w:rPr>
        <w:t xml:space="preserve"> </w:t>
      </w:r>
      <w:r w:rsidR="00D91E82" w:rsidRPr="00CC6BAC">
        <w:rPr>
          <w:color w:val="000000" w:themeColor="text1"/>
        </w:rPr>
        <w:t>governorate</w:t>
      </w:r>
      <w:r w:rsidRPr="003C2326">
        <w:rPr>
          <w:color w:val="000000" w:themeColor="text1"/>
        </w:rPr>
        <w:t>.</w:t>
      </w:r>
    </w:p>
    <w:p w:rsidR="009A53BC" w:rsidRDefault="009A53BC" w:rsidP="009041F1">
      <w:pPr>
        <w:pStyle w:val="BodyText2"/>
        <w:tabs>
          <w:tab w:val="left" w:pos="284"/>
        </w:tabs>
        <w:bidi w:val="0"/>
        <w:ind w:left="284"/>
        <w:rPr>
          <w:color w:val="000000" w:themeColor="text1"/>
        </w:rPr>
      </w:pPr>
    </w:p>
    <w:p w:rsidR="009A53BC" w:rsidRPr="009A53BC" w:rsidRDefault="009A53BC" w:rsidP="009041F1">
      <w:pPr>
        <w:pStyle w:val="BodyText2"/>
        <w:numPr>
          <w:ilvl w:val="0"/>
          <w:numId w:val="15"/>
        </w:numPr>
        <w:tabs>
          <w:tab w:val="left" w:pos="284"/>
        </w:tabs>
        <w:bidi w:val="0"/>
        <w:ind w:left="284" w:hanging="284"/>
        <w:rPr>
          <w:color w:val="000000" w:themeColor="text1"/>
        </w:rPr>
      </w:pPr>
      <w:r w:rsidRPr="009A53BC">
        <w:rPr>
          <w:color w:val="000000" w:themeColor="text1"/>
        </w:rPr>
        <w:t xml:space="preserve">During the first quarter of 2013, around 16.3% of Palestinian households in Jerusalem governorate conducted domestic tourism trips (9.9% in Area J1 and 27.4% in Area J2).  Also, 9.4% of Palestinian households in Jerusalem governorate conducted an outbound tourism trip (10.8% in Area J1 and 6.9% in Area J2). </w:t>
      </w:r>
    </w:p>
    <w:p w:rsidR="009A53BC" w:rsidRPr="003C2326" w:rsidRDefault="009A53BC" w:rsidP="009041F1">
      <w:pPr>
        <w:pStyle w:val="BodyText2"/>
        <w:tabs>
          <w:tab w:val="left" w:pos="284"/>
        </w:tabs>
        <w:bidi w:val="0"/>
        <w:ind w:left="284"/>
        <w:rPr>
          <w:color w:val="000000" w:themeColor="text1"/>
        </w:rPr>
      </w:pPr>
    </w:p>
    <w:p w:rsidR="002A6117" w:rsidRPr="00CC6BAC" w:rsidRDefault="002A6117" w:rsidP="009041F1">
      <w:pPr>
        <w:jc w:val="lowKashida"/>
        <w:rPr>
          <w:rFonts w:cs="Simplified Arabic"/>
          <w:b/>
          <w:bCs/>
          <w:color w:val="000000" w:themeColor="text1"/>
        </w:rPr>
      </w:pPr>
      <w:r w:rsidRPr="00CC6BAC">
        <w:rPr>
          <w:rFonts w:cs="Simplified Arabic"/>
          <w:b/>
          <w:bCs/>
          <w:color w:val="000000" w:themeColor="text1"/>
        </w:rPr>
        <w:t xml:space="preserve">Services Sector </w:t>
      </w:r>
    </w:p>
    <w:p w:rsidR="002A6117" w:rsidRPr="00CC6BAC" w:rsidRDefault="002A6117" w:rsidP="009041F1">
      <w:pPr>
        <w:pStyle w:val="BodyText2"/>
        <w:numPr>
          <w:ilvl w:val="0"/>
          <w:numId w:val="15"/>
        </w:numPr>
        <w:tabs>
          <w:tab w:val="left" w:pos="284"/>
        </w:tabs>
        <w:bidi w:val="0"/>
        <w:ind w:left="284" w:hanging="284"/>
        <w:rPr>
          <w:color w:val="000000" w:themeColor="text1"/>
        </w:rPr>
      </w:pPr>
      <w:r w:rsidRPr="00CC6BAC">
        <w:rPr>
          <w:color w:val="000000" w:themeColor="text1"/>
        </w:rPr>
        <w:t>There were 2,463 enterprises engaged in this sector in Jerusalem governorate in 2012 with 12,462 employees.</w:t>
      </w:r>
    </w:p>
    <w:p w:rsidR="002A6117" w:rsidRPr="00CC6BAC" w:rsidRDefault="002A6117" w:rsidP="009041F1">
      <w:pPr>
        <w:pStyle w:val="BodyText2"/>
        <w:tabs>
          <w:tab w:val="left" w:pos="284"/>
        </w:tabs>
        <w:bidi w:val="0"/>
        <w:rPr>
          <w:color w:val="000000" w:themeColor="text1"/>
          <w:sz w:val="10"/>
          <w:szCs w:val="10"/>
        </w:rPr>
      </w:pPr>
    </w:p>
    <w:p w:rsidR="002A6117" w:rsidRPr="00CC6BAC" w:rsidRDefault="002A6117" w:rsidP="009041F1">
      <w:pPr>
        <w:pStyle w:val="BodyText2"/>
        <w:numPr>
          <w:ilvl w:val="0"/>
          <w:numId w:val="15"/>
        </w:numPr>
        <w:tabs>
          <w:tab w:val="left" w:pos="284"/>
        </w:tabs>
        <w:bidi w:val="0"/>
        <w:ind w:left="284" w:hanging="284"/>
        <w:rPr>
          <w:color w:val="000000" w:themeColor="text1"/>
        </w:rPr>
      </w:pPr>
      <w:r w:rsidRPr="00CC6BAC">
        <w:rPr>
          <w:color w:val="000000" w:themeColor="text1"/>
        </w:rPr>
        <w:t>The output value in Jerusalem governorate was USD 292.1 million.</w:t>
      </w:r>
    </w:p>
    <w:p w:rsidR="002A6117" w:rsidRPr="00CC6BAC" w:rsidRDefault="002A6117" w:rsidP="009041F1">
      <w:pPr>
        <w:pStyle w:val="BodyText2"/>
        <w:tabs>
          <w:tab w:val="left" w:pos="284"/>
        </w:tabs>
        <w:bidi w:val="0"/>
        <w:ind w:left="284"/>
        <w:rPr>
          <w:color w:val="000000" w:themeColor="text1"/>
          <w:sz w:val="12"/>
          <w:szCs w:val="12"/>
        </w:rPr>
      </w:pPr>
    </w:p>
    <w:p w:rsidR="002A6117" w:rsidRPr="00CC6BAC" w:rsidRDefault="002A6117" w:rsidP="009041F1">
      <w:pPr>
        <w:pStyle w:val="BodyText2"/>
        <w:numPr>
          <w:ilvl w:val="0"/>
          <w:numId w:val="15"/>
        </w:numPr>
        <w:tabs>
          <w:tab w:val="left" w:pos="284"/>
        </w:tabs>
        <w:bidi w:val="0"/>
        <w:ind w:left="284" w:hanging="284"/>
        <w:rPr>
          <w:color w:val="000000" w:themeColor="text1"/>
        </w:rPr>
      </w:pPr>
      <w:r w:rsidRPr="00CC6BAC">
        <w:rPr>
          <w:color w:val="000000" w:themeColor="text1"/>
        </w:rPr>
        <w:t>The value added realized by the services sector was USD 225.7 million.</w:t>
      </w:r>
    </w:p>
    <w:p w:rsidR="002A6117" w:rsidRDefault="002A6117" w:rsidP="009041F1">
      <w:pPr>
        <w:pStyle w:val="BodyText2"/>
        <w:tabs>
          <w:tab w:val="left" w:pos="284"/>
        </w:tabs>
        <w:bidi w:val="0"/>
        <w:ind w:left="284"/>
        <w:rPr>
          <w:color w:val="000000" w:themeColor="text1"/>
        </w:rPr>
      </w:pPr>
    </w:p>
    <w:p w:rsidR="002A6117" w:rsidRPr="00CC6BAC" w:rsidRDefault="002A6117" w:rsidP="009041F1">
      <w:pPr>
        <w:tabs>
          <w:tab w:val="left" w:pos="284"/>
        </w:tabs>
        <w:jc w:val="lowKashida"/>
        <w:rPr>
          <w:color w:val="000000" w:themeColor="text1"/>
        </w:rPr>
      </w:pPr>
      <w:r w:rsidRPr="00CC6BAC">
        <w:rPr>
          <w:rFonts w:cs="Simplified Arabic"/>
          <w:b/>
          <w:bCs/>
          <w:color w:val="000000" w:themeColor="text1"/>
        </w:rPr>
        <w:t xml:space="preserve">Internal Trade  </w:t>
      </w:r>
    </w:p>
    <w:p w:rsidR="002A6117" w:rsidRPr="00CC6BAC" w:rsidRDefault="002A6117" w:rsidP="009041F1">
      <w:pPr>
        <w:pStyle w:val="BodyText2"/>
        <w:numPr>
          <w:ilvl w:val="0"/>
          <w:numId w:val="14"/>
        </w:numPr>
        <w:tabs>
          <w:tab w:val="left" w:pos="284"/>
        </w:tabs>
        <w:bidi w:val="0"/>
        <w:ind w:left="284" w:hanging="284"/>
        <w:rPr>
          <w:color w:val="000000" w:themeColor="text1"/>
        </w:rPr>
      </w:pPr>
      <w:r w:rsidRPr="00CC6BAC">
        <w:rPr>
          <w:color w:val="000000" w:themeColor="text1"/>
        </w:rPr>
        <w:t>There were 5,273 enterprises engaged in this sector in Jerusalem governorate in 2012 with 12,134 employees.</w:t>
      </w:r>
    </w:p>
    <w:p w:rsidR="002A6117" w:rsidRPr="00CC6BAC" w:rsidRDefault="002A6117" w:rsidP="009041F1">
      <w:pPr>
        <w:pStyle w:val="BodyText2"/>
        <w:tabs>
          <w:tab w:val="left" w:pos="284"/>
        </w:tabs>
        <w:bidi w:val="0"/>
        <w:rPr>
          <w:color w:val="000000" w:themeColor="text1"/>
          <w:sz w:val="10"/>
          <w:szCs w:val="10"/>
        </w:rPr>
      </w:pPr>
    </w:p>
    <w:p w:rsidR="002A6117" w:rsidRPr="00CC6BAC" w:rsidRDefault="002A6117" w:rsidP="009041F1">
      <w:pPr>
        <w:pStyle w:val="BodyText2"/>
        <w:numPr>
          <w:ilvl w:val="0"/>
          <w:numId w:val="14"/>
        </w:numPr>
        <w:tabs>
          <w:tab w:val="left" w:pos="284"/>
        </w:tabs>
        <w:bidi w:val="0"/>
        <w:ind w:left="284" w:hanging="284"/>
        <w:rPr>
          <w:color w:val="000000" w:themeColor="text1"/>
        </w:rPr>
      </w:pPr>
      <w:r w:rsidRPr="00CC6BAC">
        <w:rPr>
          <w:color w:val="000000" w:themeColor="text1"/>
        </w:rPr>
        <w:t>The output value in Jerusalem governorate was USD 564.8 million.</w:t>
      </w:r>
    </w:p>
    <w:p w:rsidR="002A6117" w:rsidRPr="00CC6BAC" w:rsidRDefault="002A6117" w:rsidP="009041F1">
      <w:pPr>
        <w:pStyle w:val="BodyText2"/>
        <w:tabs>
          <w:tab w:val="left" w:pos="284"/>
        </w:tabs>
        <w:bidi w:val="0"/>
        <w:rPr>
          <w:color w:val="000000" w:themeColor="text1"/>
          <w:sz w:val="10"/>
          <w:szCs w:val="10"/>
        </w:rPr>
      </w:pPr>
    </w:p>
    <w:p w:rsidR="002A6117" w:rsidRPr="00CC6BAC" w:rsidRDefault="002A6117" w:rsidP="009041F1">
      <w:pPr>
        <w:pStyle w:val="BodyText2"/>
        <w:numPr>
          <w:ilvl w:val="0"/>
          <w:numId w:val="14"/>
        </w:numPr>
        <w:tabs>
          <w:tab w:val="left" w:pos="284"/>
        </w:tabs>
        <w:bidi w:val="0"/>
        <w:ind w:left="284" w:hanging="284"/>
        <w:rPr>
          <w:color w:val="000000" w:themeColor="text1"/>
        </w:rPr>
      </w:pPr>
      <w:r w:rsidRPr="00CC6BAC">
        <w:rPr>
          <w:color w:val="000000" w:themeColor="text1"/>
        </w:rPr>
        <w:t>The value added realized by internal trade was USD 505.7 million.</w:t>
      </w:r>
    </w:p>
    <w:p w:rsidR="009837D4" w:rsidRPr="00456322" w:rsidRDefault="009837D4" w:rsidP="009041F1">
      <w:pPr>
        <w:pStyle w:val="ListParagraph"/>
        <w:jc w:val="lowKashida"/>
        <w:rPr>
          <w:color w:val="FF0000"/>
        </w:rPr>
      </w:pPr>
    </w:p>
    <w:p w:rsidR="009837D4" w:rsidRPr="003C2326" w:rsidRDefault="009837D4" w:rsidP="009041F1">
      <w:pPr>
        <w:tabs>
          <w:tab w:val="num" w:pos="0"/>
          <w:tab w:val="left" w:pos="284"/>
        </w:tabs>
        <w:jc w:val="lowKashida"/>
        <w:rPr>
          <w:color w:val="000000" w:themeColor="text1"/>
        </w:rPr>
      </w:pPr>
      <w:r w:rsidRPr="003C2326">
        <w:rPr>
          <w:rFonts w:cs="Simplified Arabic"/>
          <w:b/>
          <w:bCs/>
          <w:color w:val="000000" w:themeColor="text1"/>
        </w:rPr>
        <w:t xml:space="preserve">Registered Foreign Trade </w:t>
      </w:r>
    </w:p>
    <w:p w:rsidR="00001241" w:rsidRDefault="002A6117" w:rsidP="009041F1">
      <w:pPr>
        <w:pStyle w:val="BodyText2"/>
        <w:numPr>
          <w:ilvl w:val="0"/>
          <w:numId w:val="14"/>
        </w:numPr>
        <w:tabs>
          <w:tab w:val="left" w:pos="284"/>
        </w:tabs>
        <w:bidi w:val="0"/>
        <w:ind w:left="284" w:hanging="284"/>
        <w:rPr>
          <w:color w:val="000000" w:themeColor="text1"/>
        </w:rPr>
      </w:pPr>
      <w:r w:rsidRPr="003C2326">
        <w:rPr>
          <w:color w:val="000000" w:themeColor="text1"/>
        </w:rPr>
        <w:t>The total value of registered imports of goods for Jerusalem governorate in 2012 was USD 319</w:t>
      </w:r>
      <w:r w:rsidR="00D91E82">
        <w:rPr>
          <w:color w:val="000000" w:themeColor="text1"/>
        </w:rPr>
        <w:t>.5</w:t>
      </w:r>
      <w:r w:rsidRPr="003C2326">
        <w:rPr>
          <w:color w:val="000000" w:themeColor="text1"/>
        </w:rPr>
        <w:t xml:space="preserve"> million and showed an increase of 7.5%</w:t>
      </w:r>
      <w:r w:rsidR="00B33398">
        <w:rPr>
          <w:color w:val="000000" w:themeColor="text1"/>
        </w:rPr>
        <w:t xml:space="preserve"> </w:t>
      </w:r>
      <w:r w:rsidR="00B33398" w:rsidRPr="00B33398">
        <w:rPr>
          <w:color w:val="000000" w:themeColor="text1"/>
        </w:rPr>
        <w:t>compared with 2011</w:t>
      </w:r>
      <w:r w:rsidR="00001241">
        <w:rPr>
          <w:color w:val="000000" w:themeColor="text1"/>
        </w:rPr>
        <w:t>.</w:t>
      </w:r>
    </w:p>
    <w:p w:rsidR="00001241" w:rsidRDefault="00001241" w:rsidP="009041F1">
      <w:pPr>
        <w:pStyle w:val="BodyText2"/>
        <w:tabs>
          <w:tab w:val="left" w:pos="284"/>
        </w:tabs>
        <w:bidi w:val="0"/>
        <w:ind w:left="284"/>
        <w:rPr>
          <w:color w:val="000000" w:themeColor="text1"/>
        </w:rPr>
      </w:pPr>
    </w:p>
    <w:p w:rsidR="002A6117" w:rsidRPr="003C2326" w:rsidRDefault="00001241" w:rsidP="009041F1">
      <w:pPr>
        <w:pStyle w:val="BodyText2"/>
        <w:numPr>
          <w:ilvl w:val="0"/>
          <w:numId w:val="14"/>
        </w:numPr>
        <w:tabs>
          <w:tab w:val="left" w:pos="284"/>
        </w:tabs>
        <w:bidi w:val="0"/>
        <w:ind w:left="284" w:hanging="284"/>
        <w:rPr>
          <w:color w:val="000000" w:themeColor="text1"/>
        </w:rPr>
      </w:pPr>
      <w:r>
        <w:rPr>
          <w:color w:val="000000" w:themeColor="text1"/>
        </w:rPr>
        <w:t>E</w:t>
      </w:r>
      <w:r w:rsidR="002A6117" w:rsidRPr="003C2326">
        <w:rPr>
          <w:color w:val="000000" w:themeColor="text1"/>
        </w:rPr>
        <w:t xml:space="preserve">xports from Jerusalem governorate increased </w:t>
      </w:r>
      <w:r w:rsidR="000C6F9B">
        <w:rPr>
          <w:color w:val="000000" w:themeColor="text1"/>
        </w:rPr>
        <w:t>during the same period by 41.7%</w:t>
      </w:r>
      <w:r w:rsidR="006C0C4A">
        <w:rPr>
          <w:color w:val="000000" w:themeColor="text1"/>
        </w:rPr>
        <w:t xml:space="preserve"> </w:t>
      </w:r>
      <w:r w:rsidR="002A6117" w:rsidRPr="003C2326">
        <w:rPr>
          <w:color w:val="000000" w:themeColor="text1"/>
        </w:rPr>
        <w:t>and totaled USD 51.8 million.</w:t>
      </w:r>
    </w:p>
    <w:p w:rsidR="00784217" w:rsidRDefault="00784217" w:rsidP="00E80C8A">
      <w:pPr>
        <w:jc w:val="both"/>
        <w:rPr>
          <w:b/>
          <w:bCs/>
          <w:color w:val="000000" w:themeColor="text1"/>
        </w:rPr>
      </w:pPr>
    </w:p>
    <w:p w:rsidR="005135C7" w:rsidRDefault="005135C7" w:rsidP="00E80C8A">
      <w:pPr>
        <w:jc w:val="both"/>
        <w:rPr>
          <w:b/>
          <w:bCs/>
          <w:color w:val="000000" w:themeColor="text1"/>
        </w:rPr>
      </w:pPr>
    </w:p>
    <w:p w:rsidR="002F57CD" w:rsidRPr="003C2326" w:rsidRDefault="002F57CD" w:rsidP="00E80C8A">
      <w:pPr>
        <w:jc w:val="both"/>
        <w:rPr>
          <w:b/>
          <w:bCs/>
          <w:color w:val="000000" w:themeColor="text1"/>
        </w:rPr>
      </w:pPr>
      <w:r w:rsidRPr="003C2326">
        <w:rPr>
          <w:b/>
          <w:bCs/>
          <w:color w:val="000000" w:themeColor="text1"/>
        </w:rPr>
        <w:lastRenderedPageBreak/>
        <w:t xml:space="preserve">Israeli Violations </w:t>
      </w:r>
    </w:p>
    <w:p w:rsidR="002F57CD" w:rsidRPr="003C2326" w:rsidRDefault="002F57CD" w:rsidP="00224D98">
      <w:pPr>
        <w:jc w:val="right"/>
        <w:rPr>
          <w:color w:val="000000" w:themeColor="text1"/>
          <w:sz w:val="12"/>
          <w:szCs w:val="12"/>
        </w:rPr>
      </w:pPr>
    </w:p>
    <w:p w:rsidR="002F57CD" w:rsidRPr="003C2326" w:rsidRDefault="007D1BDA" w:rsidP="009041F1">
      <w:pPr>
        <w:pStyle w:val="BodyText2"/>
        <w:numPr>
          <w:ilvl w:val="0"/>
          <w:numId w:val="14"/>
        </w:numPr>
        <w:tabs>
          <w:tab w:val="left" w:pos="284"/>
        </w:tabs>
        <w:bidi w:val="0"/>
        <w:ind w:left="284" w:hanging="284"/>
        <w:rPr>
          <w:color w:val="000000" w:themeColor="text1"/>
        </w:rPr>
      </w:pPr>
      <w:r>
        <w:rPr>
          <w:noProof/>
          <w:color w:val="000000" w:themeColor="text1"/>
        </w:rPr>
        <w:drawing>
          <wp:anchor distT="0" distB="0" distL="114300" distR="114300" simplePos="0" relativeHeight="251664384" behindDoc="0" locked="0" layoutInCell="1" allowOverlap="1">
            <wp:simplePos x="0" y="0"/>
            <wp:positionH relativeFrom="column">
              <wp:posOffset>2518410</wp:posOffset>
            </wp:positionH>
            <wp:positionV relativeFrom="paragraph">
              <wp:posOffset>195580</wp:posOffset>
            </wp:positionV>
            <wp:extent cx="2406650" cy="2971800"/>
            <wp:effectExtent l="0" t="0" r="0" b="0"/>
            <wp:wrapSquare wrapText="bothSides"/>
            <wp:docPr id="8" name="Picture 2" descr="C:\Users\yashqar\Desktop\كتاب القدس 2014\الخرائط الاحصائية والسياسية 2014\الخرائط الاحصائية\E_Quds_Number_Sett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shqar\Desktop\كتاب القدس 2014\الخرائط الاحصائية والسياسية 2014\الخرائط الاحصائية\E_Quds_Number_Settler.png"/>
                    <pic:cNvPicPr>
                      <a:picLocks noChangeAspect="1" noChangeArrowheads="1"/>
                    </pic:cNvPicPr>
                  </pic:nvPicPr>
                  <pic:blipFill>
                    <a:blip r:embed="rId21" cstate="print"/>
                    <a:srcRect/>
                    <a:stretch>
                      <a:fillRect/>
                    </a:stretch>
                  </pic:blipFill>
                  <pic:spPr bwMode="auto">
                    <a:xfrm>
                      <a:off x="0" y="0"/>
                      <a:ext cx="2406650" cy="2971800"/>
                    </a:xfrm>
                    <a:prstGeom prst="rect">
                      <a:avLst/>
                    </a:prstGeom>
                    <a:noFill/>
                    <a:ln w="9525">
                      <a:noFill/>
                      <a:miter lim="800000"/>
                      <a:headEnd/>
                      <a:tailEnd/>
                    </a:ln>
                  </pic:spPr>
                </pic:pic>
              </a:graphicData>
            </a:graphic>
          </wp:anchor>
        </w:drawing>
      </w:r>
      <w:r w:rsidR="00E41D3A" w:rsidRPr="003C2326">
        <w:rPr>
          <w:color w:val="000000" w:themeColor="text1"/>
        </w:rPr>
        <w:t>A</w:t>
      </w:r>
      <w:r w:rsidR="002F57CD" w:rsidRPr="003C2326">
        <w:rPr>
          <w:color w:val="000000" w:themeColor="text1"/>
        </w:rPr>
        <w:t xml:space="preserve"> total of </w:t>
      </w:r>
      <w:r w:rsidR="00223F56" w:rsidRPr="003C2326">
        <w:rPr>
          <w:color w:val="000000" w:themeColor="text1"/>
        </w:rPr>
        <w:t>18</w:t>
      </w:r>
      <w:r w:rsidR="00E41D3A" w:rsidRPr="003C2326">
        <w:rPr>
          <w:color w:val="000000" w:themeColor="text1"/>
        </w:rPr>
        <w:t>,</w:t>
      </w:r>
      <w:r w:rsidR="00223F56" w:rsidRPr="003C2326">
        <w:rPr>
          <w:color w:val="000000" w:themeColor="text1"/>
        </w:rPr>
        <w:t>824</w:t>
      </w:r>
      <w:r w:rsidR="002F57CD" w:rsidRPr="003C2326">
        <w:rPr>
          <w:color w:val="000000" w:themeColor="text1"/>
        </w:rPr>
        <w:t xml:space="preserve"> Jerusalem </w:t>
      </w:r>
      <w:r w:rsidR="00CD68B1" w:rsidRPr="003C2326">
        <w:rPr>
          <w:color w:val="000000" w:themeColor="text1"/>
        </w:rPr>
        <w:t>ID</w:t>
      </w:r>
      <w:r w:rsidR="00E41D3A" w:rsidRPr="003C2326">
        <w:rPr>
          <w:color w:val="000000" w:themeColor="text1"/>
        </w:rPr>
        <w:t xml:space="preserve"> card</w:t>
      </w:r>
      <w:r w:rsidR="00CD68B1" w:rsidRPr="003C2326">
        <w:rPr>
          <w:color w:val="000000" w:themeColor="text1"/>
        </w:rPr>
        <w:t xml:space="preserve">s </w:t>
      </w:r>
      <w:r w:rsidR="00E41D3A" w:rsidRPr="003C2326">
        <w:rPr>
          <w:color w:val="000000" w:themeColor="text1"/>
        </w:rPr>
        <w:t>were confiscated</w:t>
      </w:r>
      <w:r w:rsidR="00655A23" w:rsidRPr="003C2326">
        <w:rPr>
          <w:color w:val="000000" w:themeColor="text1"/>
        </w:rPr>
        <w:t xml:space="preserve"> </w:t>
      </w:r>
      <w:r w:rsidR="00E41D3A" w:rsidRPr="003C2326">
        <w:rPr>
          <w:color w:val="000000" w:themeColor="text1"/>
        </w:rPr>
        <w:t>between</w:t>
      </w:r>
      <w:r w:rsidR="00D434D2" w:rsidRPr="003C2326">
        <w:rPr>
          <w:rFonts w:hint="cs"/>
          <w:color w:val="000000" w:themeColor="text1"/>
          <w:rtl/>
        </w:rPr>
        <w:t xml:space="preserve"> </w:t>
      </w:r>
      <w:r w:rsidR="002F57CD" w:rsidRPr="003C2326">
        <w:rPr>
          <w:color w:val="000000" w:themeColor="text1"/>
        </w:rPr>
        <w:t>1967</w:t>
      </w:r>
      <w:r w:rsidR="00E41D3A" w:rsidRPr="003C2326">
        <w:rPr>
          <w:color w:val="000000" w:themeColor="text1"/>
        </w:rPr>
        <w:t xml:space="preserve"> and </w:t>
      </w:r>
      <w:r w:rsidR="00223F56" w:rsidRPr="003C2326">
        <w:rPr>
          <w:color w:val="000000" w:themeColor="text1"/>
        </w:rPr>
        <w:t>2012</w:t>
      </w:r>
      <w:r w:rsidR="002F57CD" w:rsidRPr="003C2326">
        <w:rPr>
          <w:color w:val="000000" w:themeColor="text1"/>
        </w:rPr>
        <w:t xml:space="preserve">, </w:t>
      </w:r>
      <w:r w:rsidR="00223F56" w:rsidRPr="003C2326">
        <w:rPr>
          <w:rFonts w:hint="cs"/>
          <w:color w:val="000000" w:themeColor="text1"/>
          <w:rtl/>
        </w:rPr>
        <w:t>4</w:t>
      </w:r>
      <w:r w:rsidR="00223F56" w:rsidRPr="003C2326">
        <w:rPr>
          <w:color w:val="000000" w:themeColor="text1"/>
        </w:rPr>
        <w:t>,577</w:t>
      </w:r>
      <w:r w:rsidR="002F57CD" w:rsidRPr="003C2326">
        <w:rPr>
          <w:color w:val="000000" w:themeColor="text1"/>
        </w:rPr>
        <w:t xml:space="preserve"> </w:t>
      </w:r>
      <w:r w:rsidR="00E41D3A" w:rsidRPr="003C2326">
        <w:rPr>
          <w:color w:val="000000" w:themeColor="text1"/>
        </w:rPr>
        <w:t>of them</w:t>
      </w:r>
      <w:r w:rsidR="002F57CD" w:rsidRPr="003C2326">
        <w:rPr>
          <w:color w:val="000000" w:themeColor="text1"/>
        </w:rPr>
        <w:t xml:space="preserve"> in </w:t>
      </w:r>
      <w:r w:rsidR="00223F56" w:rsidRPr="003C2326">
        <w:rPr>
          <w:color w:val="000000" w:themeColor="text1"/>
        </w:rPr>
        <w:t>2012</w:t>
      </w:r>
      <w:r w:rsidR="002F57CD" w:rsidRPr="003C2326">
        <w:rPr>
          <w:color w:val="000000" w:themeColor="text1"/>
        </w:rPr>
        <w:t>.</w:t>
      </w:r>
    </w:p>
    <w:p w:rsidR="004365C7" w:rsidRPr="003C2326" w:rsidRDefault="004365C7" w:rsidP="009041F1">
      <w:pPr>
        <w:pStyle w:val="BodyText2"/>
        <w:tabs>
          <w:tab w:val="left" w:pos="284"/>
        </w:tabs>
        <w:bidi w:val="0"/>
        <w:ind w:left="284"/>
        <w:rPr>
          <w:color w:val="000000" w:themeColor="text1"/>
        </w:rPr>
      </w:pPr>
    </w:p>
    <w:p w:rsidR="0012771D" w:rsidRPr="003C2326" w:rsidRDefault="0012771D" w:rsidP="00AA41D4">
      <w:pPr>
        <w:pStyle w:val="BodyText2"/>
        <w:numPr>
          <w:ilvl w:val="0"/>
          <w:numId w:val="14"/>
        </w:numPr>
        <w:tabs>
          <w:tab w:val="left" w:pos="284"/>
        </w:tabs>
        <w:bidi w:val="0"/>
        <w:ind w:left="284" w:hanging="284"/>
        <w:rPr>
          <w:color w:val="000000" w:themeColor="text1"/>
        </w:rPr>
      </w:pPr>
      <w:r w:rsidRPr="003C2326">
        <w:rPr>
          <w:color w:val="000000" w:themeColor="text1"/>
        </w:rPr>
        <w:t xml:space="preserve">A total of 26 settlements have been constructed on land in Jerusalem governorate and 16 of these were </w:t>
      </w:r>
      <w:r w:rsidR="00AA41D4">
        <w:rPr>
          <w:color w:val="000000" w:themeColor="text1"/>
        </w:rPr>
        <w:t>in area J1</w:t>
      </w:r>
      <w:r w:rsidRPr="003C2326">
        <w:rPr>
          <w:color w:val="000000" w:themeColor="text1"/>
        </w:rPr>
        <w:t>.</w:t>
      </w:r>
    </w:p>
    <w:p w:rsidR="004365C7" w:rsidRPr="003C2326" w:rsidRDefault="004365C7" w:rsidP="009041F1">
      <w:pPr>
        <w:pStyle w:val="BodyText2"/>
        <w:tabs>
          <w:tab w:val="left" w:pos="284"/>
        </w:tabs>
        <w:bidi w:val="0"/>
        <w:ind w:left="284"/>
        <w:rPr>
          <w:color w:val="000000" w:themeColor="text1"/>
        </w:rPr>
      </w:pPr>
    </w:p>
    <w:p w:rsidR="002F57CD" w:rsidRPr="003C2326" w:rsidRDefault="00E41D3A" w:rsidP="009041F1">
      <w:pPr>
        <w:pStyle w:val="BodyText2"/>
        <w:numPr>
          <w:ilvl w:val="0"/>
          <w:numId w:val="15"/>
        </w:numPr>
        <w:tabs>
          <w:tab w:val="left" w:pos="284"/>
        </w:tabs>
        <w:bidi w:val="0"/>
        <w:ind w:left="284" w:hanging="284"/>
        <w:rPr>
          <w:color w:val="000000" w:themeColor="text1"/>
        </w:rPr>
      </w:pPr>
      <w:r w:rsidRPr="003C2326">
        <w:rPr>
          <w:color w:val="000000" w:themeColor="text1"/>
        </w:rPr>
        <w:t xml:space="preserve">During </w:t>
      </w:r>
      <w:r w:rsidR="00223F56" w:rsidRPr="003C2326">
        <w:rPr>
          <w:color w:val="000000" w:themeColor="text1"/>
        </w:rPr>
        <w:t>2013</w:t>
      </w:r>
      <w:r w:rsidRPr="003C2326">
        <w:rPr>
          <w:color w:val="000000" w:themeColor="text1"/>
        </w:rPr>
        <w:t>, t</w:t>
      </w:r>
      <w:r w:rsidR="002F57CD" w:rsidRPr="003C2326">
        <w:rPr>
          <w:color w:val="000000" w:themeColor="text1"/>
        </w:rPr>
        <w:t>he Israeli authorit</w:t>
      </w:r>
      <w:r w:rsidRPr="003C2326">
        <w:rPr>
          <w:color w:val="000000" w:themeColor="text1"/>
        </w:rPr>
        <w:t xml:space="preserve">ies </w:t>
      </w:r>
      <w:r w:rsidR="002F57CD" w:rsidRPr="003C2326">
        <w:rPr>
          <w:color w:val="000000" w:themeColor="text1"/>
        </w:rPr>
        <w:t xml:space="preserve">demolished </w:t>
      </w:r>
      <w:r w:rsidR="00223F56" w:rsidRPr="003C2326">
        <w:rPr>
          <w:color w:val="000000" w:themeColor="text1"/>
        </w:rPr>
        <w:t>95</w:t>
      </w:r>
      <w:r w:rsidR="002F57CD" w:rsidRPr="003C2326">
        <w:rPr>
          <w:color w:val="000000" w:themeColor="text1"/>
        </w:rPr>
        <w:t xml:space="preserve"> </w:t>
      </w:r>
      <w:r w:rsidR="00C23E74" w:rsidRPr="003C2326">
        <w:rPr>
          <w:color w:val="000000" w:themeColor="text1"/>
        </w:rPr>
        <w:t>building</w:t>
      </w:r>
      <w:r w:rsidR="00C972F5" w:rsidRPr="003C2326">
        <w:rPr>
          <w:color w:val="000000" w:themeColor="text1"/>
        </w:rPr>
        <w:t>s</w:t>
      </w:r>
      <w:r w:rsidR="002F57CD" w:rsidRPr="003C2326">
        <w:rPr>
          <w:color w:val="000000" w:themeColor="text1"/>
        </w:rPr>
        <w:t xml:space="preserve"> in Jerusalem governorate</w:t>
      </w:r>
      <w:r w:rsidR="00C97732" w:rsidRPr="003C2326">
        <w:rPr>
          <w:color w:val="000000" w:themeColor="text1"/>
        </w:rPr>
        <w:t>.</w:t>
      </w:r>
    </w:p>
    <w:p w:rsidR="002F57CD" w:rsidRPr="003C2326" w:rsidRDefault="002F57CD" w:rsidP="009041F1">
      <w:pPr>
        <w:pStyle w:val="BodyText2"/>
        <w:tabs>
          <w:tab w:val="left" w:pos="284"/>
        </w:tabs>
        <w:bidi w:val="0"/>
        <w:rPr>
          <w:color w:val="000000" w:themeColor="text1"/>
          <w:sz w:val="10"/>
          <w:szCs w:val="10"/>
        </w:rPr>
      </w:pPr>
    </w:p>
    <w:p w:rsidR="002F57CD" w:rsidRPr="003C2326" w:rsidRDefault="002F57CD" w:rsidP="009041F1">
      <w:pPr>
        <w:pStyle w:val="BodyText2"/>
        <w:tabs>
          <w:tab w:val="left" w:pos="284"/>
        </w:tabs>
        <w:bidi w:val="0"/>
        <w:rPr>
          <w:color w:val="000000" w:themeColor="text1"/>
          <w:sz w:val="10"/>
          <w:szCs w:val="10"/>
        </w:rPr>
      </w:pPr>
    </w:p>
    <w:p w:rsidR="003F4452" w:rsidRPr="003C2326" w:rsidRDefault="003F4452" w:rsidP="009041F1">
      <w:pPr>
        <w:pStyle w:val="BodyText2"/>
        <w:numPr>
          <w:ilvl w:val="0"/>
          <w:numId w:val="15"/>
        </w:numPr>
        <w:tabs>
          <w:tab w:val="left" w:pos="284"/>
        </w:tabs>
        <w:bidi w:val="0"/>
        <w:ind w:left="284" w:hanging="284"/>
        <w:rPr>
          <w:color w:val="000000" w:themeColor="text1"/>
        </w:rPr>
      </w:pPr>
      <w:r w:rsidRPr="003C2326">
        <w:rPr>
          <w:color w:val="000000" w:themeColor="text1"/>
        </w:rPr>
        <w:t>During the past three years, 0.1% of Palestinian households in Jerusalem governorate</w:t>
      </w:r>
      <w:r w:rsidR="00FB7CB6">
        <w:rPr>
          <w:color w:val="000000" w:themeColor="text1"/>
        </w:rPr>
        <w:t xml:space="preserve"> had</w:t>
      </w:r>
      <w:r w:rsidRPr="003C2326">
        <w:rPr>
          <w:color w:val="000000" w:themeColor="text1"/>
        </w:rPr>
        <w:t xml:space="preserve"> their buildings demolished, 0.1% of Palestinian houses were </w:t>
      </w:r>
      <w:r w:rsidR="00FB7CB6">
        <w:rPr>
          <w:color w:val="000000" w:themeColor="text1"/>
        </w:rPr>
        <w:t>sealed</w:t>
      </w:r>
      <w:r w:rsidRPr="003C2326">
        <w:rPr>
          <w:color w:val="000000" w:themeColor="text1"/>
        </w:rPr>
        <w:t>, 3.2% received a notice to demolish the building or part of the building, 0.4% of households were in the process of having their Jerusalem identity card withdrawn, 2.3% had health insurance service</w:t>
      </w:r>
      <w:r w:rsidR="00FB7CB6">
        <w:rPr>
          <w:color w:val="000000" w:themeColor="text1"/>
        </w:rPr>
        <w:t>s</w:t>
      </w:r>
      <w:r w:rsidRPr="003C2326">
        <w:rPr>
          <w:color w:val="000000" w:themeColor="text1"/>
        </w:rPr>
        <w:t xml:space="preserve"> withdrawn, 4.0% of buildings were classified as being built in violation of a permit, 1.0% had their Jerusalem identity card </w:t>
      </w:r>
      <w:r w:rsidR="00FB7CB6">
        <w:rPr>
          <w:color w:val="000000" w:themeColor="text1"/>
        </w:rPr>
        <w:t>withdrawn</w:t>
      </w:r>
      <w:r w:rsidRPr="003C2326">
        <w:rPr>
          <w:color w:val="000000" w:themeColor="text1"/>
        </w:rPr>
        <w:t xml:space="preserve"> and 2.3% were denied social allowances.</w:t>
      </w:r>
    </w:p>
    <w:p w:rsidR="0046082F" w:rsidRPr="003C2326" w:rsidRDefault="0046082F" w:rsidP="009041F1">
      <w:pPr>
        <w:pStyle w:val="BodyText2"/>
        <w:tabs>
          <w:tab w:val="left" w:pos="284"/>
        </w:tabs>
        <w:bidi w:val="0"/>
        <w:rPr>
          <w:color w:val="000000" w:themeColor="text1"/>
        </w:rPr>
      </w:pPr>
    </w:p>
    <w:p w:rsidR="0046082F" w:rsidRPr="003C2326" w:rsidRDefault="0046082F" w:rsidP="009041F1">
      <w:pPr>
        <w:pStyle w:val="BodyText2"/>
        <w:numPr>
          <w:ilvl w:val="0"/>
          <w:numId w:val="15"/>
        </w:numPr>
        <w:tabs>
          <w:tab w:val="left" w:pos="284"/>
        </w:tabs>
        <w:bidi w:val="0"/>
        <w:ind w:left="284" w:hanging="284"/>
        <w:rPr>
          <w:color w:val="000000" w:themeColor="text1"/>
        </w:rPr>
      </w:pPr>
      <w:r w:rsidRPr="003C2326">
        <w:rPr>
          <w:color w:val="000000" w:themeColor="text1"/>
        </w:rPr>
        <w:t xml:space="preserve">Around 52.6% of Palestinian households in Jerusalem governorate pay </w:t>
      </w:r>
      <w:proofErr w:type="spellStart"/>
      <w:r w:rsidRPr="003C2326">
        <w:rPr>
          <w:color w:val="000000" w:themeColor="text1"/>
        </w:rPr>
        <w:t>arnona</w:t>
      </w:r>
      <w:proofErr w:type="spellEnd"/>
      <w:r w:rsidRPr="003C2326">
        <w:rPr>
          <w:color w:val="000000" w:themeColor="text1"/>
        </w:rPr>
        <w:t xml:space="preserve"> tax (80.3% in Area J1 and 5.0% in Area J2) in 2013.</w:t>
      </w:r>
    </w:p>
    <w:p w:rsidR="00814941" w:rsidRDefault="00814941" w:rsidP="009041F1">
      <w:pPr>
        <w:pStyle w:val="BodyText2"/>
        <w:tabs>
          <w:tab w:val="left" w:pos="0"/>
        </w:tabs>
        <w:bidi w:val="0"/>
        <w:rPr>
          <w:b/>
          <w:bCs/>
        </w:rPr>
      </w:pPr>
    </w:p>
    <w:p w:rsidR="00814941" w:rsidRDefault="00814941" w:rsidP="00814941">
      <w:pPr>
        <w:pStyle w:val="BodyText2"/>
        <w:tabs>
          <w:tab w:val="left" w:pos="0"/>
        </w:tabs>
        <w:bidi w:val="0"/>
        <w:jc w:val="both"/>
        <w:rPr>
          <w:b/>
          <w:bCs/>
        </w:rPr>
      </w:pPr>
    </w:p>
    <w:p w:rsidR="004D3A79" w:rsidRDefault="004D3A79" w:rsidP="004D3A79">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Default="00793437" w:rsidP="00793437">
      <w:pPr>
        <w:pStyle w:val="BodyText2"/>
        <w:tabs>
          <w:tab w:val="left" w:pos="0"/>
        </w:tabs>
        <w:bidi w:val="0"/>
        <w:jc w:val="both"/>
        <w:rPr>
          <w:b/>
          <w:bCs/>
        </w:rPr>
      </w:pPr>
    </w:p>
    <w:p w:rsidR="00793437" w:rsidRPr="00987F95" w:rsidRDefault="00793437" w:rsidP="00793437">
      <w:pPr>
        <w:pStyle w:val="BodyText2"/>
        <w:tabs>
          <w:tab w:val="left" w:pos="0"/>
        </w:tabs>
        <w:bidi w:val="0"/>
        <w:jc w:val="both"/>
        <w:rPr>
          <w:b/>
          <w:bCs/>
        </w:rPr>
      </w:pPr>
      <w:bookmarkStart w:id="0" w:name="_GoBack"/>
      <w:bookmarkEnd w:id="0"/>
    </w:p>
    <w:sectPr w:rsidR="00793437" w:rsidRPr="00987F95" w:rsidSect="00C800CC">
      <w:headerReference w:type="default" r:id="rId22"/>
      <w:footerReference w:type="even" r:id="rId23"/>
      <w:footerReference w:type="default" r:id="rId24"/>
      <w:endnotePr>
        <w:numFmt w:val="lowerLetter"/>
      </w:endnotePr>
      <w:type w:val="continuous"/>
      <w:pgSz w:w="9639" w:h="13608" w:code="9"/>
      <w:pgMar w:top="1134" w:right="1134" w:bottom="1134" w:left="1134" w:header="567" w:footer="567" w:gutter="0"/>
      <w:pgNumType w:start="2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5A5" w:rsidRDefault="002355A5">
      <w:r>
        <w:separator/>
      </w:r>
    </w:p>
  </w:endnote>
  <w:endnote w:type="continuationSeparator" w:id="0">
    <w:p w:rsidR="002355A5" w:rsidRDefault="002355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F21" w:rsidRDefault="000B651A">
    <w:pPr>
      <w:pStyle w:val="Footer"/>
      <w:framePr w:wrap="around" w:vAnchor="text" w:hAnchor="margin" w:xAlign="center" w:y="1"/>
      <w:rPr>
        <w:rStyle w:val="PageNumber"/>
      </w:rPr>
    </w:pPr>
    <w:r>
      <w:rPr>
        <w:rStyle w:val="PageNumber"/>
      </w:rPr>
      <w:fldChar w:fldCharType="begin"/>
    </w:r>
    <w:r w:rsidR="00E30F21">
      <w:rPr>
        <w:rStyle w:val="PageNumber"/>
      </w:rPr>
      <w:instrText xml:space="preserve">PAGE  </w:instrText>
    </w:r>
    <w:r>
      <w:rPr>
        <w:rStyle w:val="PageNumber"/>
      </w:rPr>
      <w:fldChar w:fldCharType="end"/>
    </w:r>
  </w:p>
  <w:p w:rsidR="00E30F21" w:rsidRDefault="00E30F2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F21" w:rsidRDefault="00E30F21">
    <w:pPr>
      <w:pStyle w:val="Footer"/>
      <w:framePr w:wrap="around" w:vAnchor="text" w:hAnchor="margin" w:xAlign="center" w:y="1"/>
      <w:jc w:val="center"/>
      <w:rPr>
        <w:rStyle w:val="PageNumber"/>
        <w:sz w:val="16"/>
        <w:szCs w:val="16"/>
      </w:rPr>
    </w:pPr>
    <w:r>
      <w:rPr>
        <w:rStyle w:val="PageNumber"/>
        <w:sz w:val="16"/>
        <w:szCs w:val="16"/>
      </w:rPr>
      <w:t>[</w:t>
    </w:r>
    <w:r w:rsidR="000B651A">
      <w:rPr>
        <w:rStyle w:val="PageNumber"/>
        <w:sz w:val="16"/>
        <w:szCs w:val="16"/>
      </w:rPr>
      <w:fldChar w:fldCharType="begin"/>
    </w:r>
    <w:r>
      <w:rPr>
        <w:rStyle w:val="PageNumber"/>
        <w:sz w:val="16"/>
        <w:szCs w:val="16"/>
      </w:rPr>
      <w:instrText xml:space="preserve">PAGE  </w:instrText>
    </w:r>
    <w:r w:rsidR="000B651A">
      <w:rPr>
        <w:rStyle w:val="PageNumber"/>
        <w:sz w:val="16"/>
        <w:szCs w:val="16"/>
      </w:rPr>
      <w:fldChar w:fldCharType="separate"/>
    </w:r>
    <w:r w:rsidR="00467B3E">
      <w:rPr>
        <w:rStyle w:val="PageNumber"/>
        <w:noProof/>
        <w:sz w:val="16"/>
        <w:szCs w:val="16"/>
      </w:rPr>
      <w:t>29</w:t>
    </w:r>
    <w:r w:rsidR="000B651A">
      <w:rPr>
        <w:rStyle w:val="PageNumber"/>
        <w:sz w:val="16"/>
        <w:szCs w:val="16"/>
      </w:rPr>
      <w:fldChar w:fldCharType="end"/>
    </w:r>
    <w:r>
      <w:rPr>
        <w:rStyle w:val="PageNumber"/>
        <w:sz w:val="16"/>
        <w:szCs w:val="16"/>
      </w:rPr>
      <w:t>]</w:t>
    </w:r>
  </w:p>
  <w:p w:rsidR="00E30F21" w:rsidRPr="00884C07" w:rsidRDefault="00E30F21">
    <w:pPr>
      <w:pStyle w:val="Footer"/>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5A5" w:rsidRDefault="002355A5">
      <w:r>
        <w:separator/>
      </w:r>
    </w:p>
  </w:footnote>
  <w:footnote w:type="continuationSeparator" w:id="0">
    <w:p w:rsidR="002355A5" w:rsidRDefault="002355A5">
      <w:r>
        <w:continuationSeparator/>
      </w:r>
    </w:p>
  </w:footnote>
  <w:footnote w:id="1">
    <w:p w:rsidR="00E30F21" w:rsidRPr="008643D6" w:rsidRDefault="00E30F21" w:rsidP="008643D6">
      <w:pPr>
        <w:pStyle w:val="FootnoteText"/>
        <w:bidi w:val="0"/>
        <w:jc w:val="both"/>
        <w:rPr>
          <w:rFonts w:cs="Times New Roman"/>
          <w:color w:val="000000" w:themeColor="text1"/>
          <w:sz w:val="16"/>
          <w:szCs w:val="16"/>
        </w:rPr>
      </w:pPr>
      <w:r w:rsidRPr="008643D6">
        <w:rPr>
          <w:rFonts w:cs="Simplified Arabic" w:hint="cs"/>
          <w:color w:val="000000" w:themeColor="text1"/>
          <w:sz w:val="16"/>
          <w:szCs w:val="16"/>
          <w:vertAlign w:val="superscript"/>
          <w:rtl/>
        </w:rPr>
        <w:t xml:space="preserve">1 </w:t>
      </w:r>
      <w:r w:rsidRPr="008643D6">
        <w:rPr>
          <w:rFonts w:cs="Times New Roman"/>
          <w:color w:val="000000" w:themeColor="text1"/>
          <w:sz w:val="16"/>
          <w:szCs w:val="16"/>
        </w:rPr>
        <w:t>Data exclude schools under the supervision of the Jerusalem municipality and the Israeli Ministry of Education.</w:t>
      </w:r>
    </w:p>
    <w:p w:rsidR="00E30F21" w:rsidRDefault="00E30F21" w:rsidP="008643D6">
      <w:pPr>
        <w:pStyle w:val="FootnoteText"/>
        <w:bidi w:val="0"/>
        <w:jc w:val="both"/>
        <w:rPr>
          <w:rFonts w:cs="Times New Roman"/>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F21" w:rsidRDefault="00E30F21" w:rsidP="005C0776">
    <w:pPr>
      <w:pStyle w:val="Footer"/>
      <w:jc w:val="center"/>
      <w:rPr>
        <w:sz w:val="16"/>
        <w:szCs w:val="16"/>
      </w:rPr>
    </w:pPr>
    <w:r w:rsidRPr="003D3391">
      <w:rPr>
        <w:sz w:val="16"/>
        <w:szCs w:val="16"/>
      </w:rPr>
      <w:t xml:space="preserve">Jerusalem Statistical Yearbook </w:t>
    </w:r>
    <w:r>
      <w:rPr>
        <w:sz w:val="16"/>
        <w:szCs w:val="16"/>
      </w:rPr>
      <w:t>2014                                                                                                              Summary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A4871"/>
    <w:multiLevelType w:val="hybridMultilevel"/>
    <w:tmpl w:val="B088CFF8"/>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
    <w:nsid w:val="09B05C8E"/>
    <w:multiLevelType w:val="hybridMultilevel"/>
    <w:tmpl w:val="F0E652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0D5410"/>
    <w:multiLevelType w:val="hybridMultilevel"/>
    <w:tmpl w:val="589265A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3">
    <w:nsid w:val="0DF35322"/>
    <w:multiLevelType w:val="hybridMultilevel"/>
    <w:tmpl w:val="DBBE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20501"/>
    <w:multiLevelType w:val="hybridMultilevel"/>
    <w:tmpl w:val="67A0F15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FE617ED"/>
    <w:multiLevelType w:val="hybridMultilevel"/>
    <w:tmpl w:val="A5CE434C"/>
    <w:lvl w:ilvl="0" w:tplc="57E2E8E8">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18912DCC"/>
    <w:multiLevelType w:val="hybridMultilevel"/>
    <w:tmpl w:val="6D0269CA"/>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7">
    <w:nsid w:val="20580DFD"/>
    <w:multiLevelType w:val="hybridMultilevel"/>
    <w:tmpl w:val="C59A3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C118CB"/>
    <w:multiLevelType w:val="hybridMultilevel"/>
    <w:tmpl w:val="C8A850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1640AE"/>
    <w:multiLevelType w:val="hybridMultilevel"/>
    <w:tmpl w:val="34D88C02"/>
    <w:lvl w:ilvl="0" w:tplc="04090001">
      <w:start w:val="1"/>
      <w:numFmt w:val="bullet"/>
      <w:lvlText w:val=""/>
      <w:lvlJc w:val="left"/>
      <w:pPr>
        <w:tabs>
          <w:tab w:val="num" w:pos="360"/>
        </w:tabs>
        <w:ind w:left="360" w:right="360" w:hanging="360"/>
      </w:pPr>
      <w:rPr>
        <w:rFonts w:ascii="Symbol" w:hAnsi="Symbol" w:hint="default"/>
      </w:rPr>
    </w:lvl>
    <w:lvl w:ilvl="1" w:tplc="04090003">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0">
    <w:nsid w:val="2CD2418B"/>
    <w:multiLevelType w:val="hybridMultilevel"/>
    <w:tmpl w:val="80CA67E8"/>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27B68D0"/>
    <w:multiLevelType w:val="hybridMultilevel"/>
    <w:tmpl w:val="638AFE44"/>
    <w:lvl w:ilvl="0" w:tplc="0409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080"/>
        </w:tabs>
        <w:ind w:left="1080" w:right="720" w:hanging="360"/>
      </w:pPr>
      <w:rPr>
        <w:rFonts w:ascii="Courier New" w:hAnsi="Courier New" w:hint="default"/>
      </w:rPr>
    </w:lvl>
    <w:lvl w:ilvl="2" w:tplc="04090005" w:tentative="1">
      <w:start w:val="1"/>
      <w:numFmt w:val="bullet"/>
      <w:lvlText w:val=""/>
      <w:lvlJc w:val="left"/>
      <w:pPr>
        <w:tabs>
          <w:tab w:val="num" w:pos="1800"/>
        </w:tabs>
        <w:ind w:left="1800" w:right="1440" w:hanging="360"/>
      </w:pPr>
      <w:rPr>
        <w:rFonts w:ascii="Wingdings" w:hAnsi="Wingdings" w:hint="default"/>
      </w:rPr>
    </w:lvl>
    <w:lvl w:ilvl="3" w:tplc="04090001" w:tentative="1">
      <w:start w:val="1"/>
      <w:numFmt w:val="bullet"/>
      <w:lvlText w:val=""/>
      <w:lvlJc w:val="left"/>
      <w:pPr>
        <w:tabs>
          <w:tab w:val="num" w:pos="2520"/>
        </w:tabs>
        <w:ind w:left="2520" w:right="2160" w:hanging="360"/>
      </w:pPr>
      <w:rPr>
        <w:rFonts w:ascii="Symbol" w:hAnsi="Symbol" w:hint="default"/>
      </w:rPr>
    </w:lvl>
    <w:lvl w:ilvl="4" w:tplc="04090003" w:tentative="1">
      <w:start w:val="1"/>
      <w:numFmt w:val="bullet"/>
      <w:lvlText w:val="o"/>
      <w:lvlJc w:val="left"/>
      <w:pPr>
        <w:tabs>
          <w:tab w:val="num" w:pos="3240"/>
        </w:tabs>
        <w:ind w:left="3240" w:right="2880" w:hanging="360"/>
      </w:pPr>
      <w:rPr>
        <w:rFonts w:ascii="Courier New" w:hAnsi="Courier New" w:hint="default"/>
      </w:rPr>
    </w:lvl>
    <w:lvl w:ilvl="5" w:tplc="04090005" w:tentative="1">
      <w:start w:val="1"/>
      <w:numFmt w:val="bullet"/>
      <w:lvlText w:val=""/>
      <w:lvlJc w:val="left"/>
      <w:pPr>
        <w:tabs>
          <w:tab w:val="num" w:pos="3960"/>
        </w:tabs>
        <w:ind w:left="3960" w:right="3600" w:hanging="360"/>
      </w:pPr>
      <w:rPr>
        <w:rFonts w:ascii="Wingdings" w:hAnsi="Wingdings" w:hint="default"/>
      </w:rPr>
    </w:lvl>
    <w:lvl w:ilvl="6" w:tplc="04090001" w:tentative="1">
      <w:start w:val="1"/>
      <w:numFmt w:val="bullet"/>
      <w:lvlText w:val=""/>
      <w:lvlJc w:val="left"/>
      <w:pPr>
        <w:tabs>
          <w:tab w:val="num" w:pos="4680"/>
        </w:tabs>
        <w:ind w:left="4680" w:right="4320" w:hanging="360"/>
      </w:pPr>
      <w:rPr>
        <w:rFonts w:ascii="Symbol" w:hAnsi="Symbol" w:hint="default"/>
      </w:rPr>
    </w:lvl>
    <w:lvl w:ilvl="7" w:tplc="04090003" w:tentative="1">
      <w:start w:val="1"/>
      <w:numFmt w:val="bullet"/>
      <w:lvlText w:val="o"/>
      <w:lvlJc w:val="left"/>
      <w:pPr>
        <w:tabs>
          <w:tab w:val="num" w:pos="5400"/>
        </w:tabs>
        <w:ind w:left="5400" w:right="5040" w:hanging="360"/>
      </w:pPr>
      <w:rPr>
        <w:rFonts w:ascii="Courier New" w:hAnsi="Courier New" w:hint="default"/>
      </w:rPr>
    </w:lvl>
    <w:lvl w:ilvl="8" w:tplc="04090005" w:tentative="1">
      <w:start w:val="1"/>
      <w:numFmt w:val="bullet"/>
      <w:lvlText w:val=""/>
      <w:lvlJc w:val="left"/>
      <w:pPr>
        <w:tabs>
          <w:tab w:val="num" w:pos="6120"/>
        </w:tabs>
        <w:ind w:left="6120" w:right="5760" w:hanging="360"/>
      </w:pPr>
      <w:rPr>
        <w:rFonts w:ascii="Wingdings" w:hAnsi="Wingdings" w:hint="default"/>
      </w:rPr>
    </w:lvl>
  </w:abstractNum>
  <w:abstractNum w:abstractNumId="12">
    <w:nsid w:val="33241CA9"/>
    <w:multiLevelType w:val="hybridMultilevel"/>
    <w:tmpl w:val="8AFEA8CE"/>
    <w:lvl w:ilvl="0" w:tplc="0401000F">
      <w:start w:val="2"/>
      <w:numFmt w:val="decimal"/>
      <w:lvlText w:val="%1."/>
      <w:lvlJc w:val="left"/>
      <w:pPr>
        <w:tabs>
          <w:tab w:val="num" w:pos="720"/>
        </w:tabs>
        <w:ind w:left="720" w:right="720" w:hanging="360"/>
      </w:pPr>
      <w:rPr>
        <w:rFonts w:hint="default"/>
        <w:i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37696740"/>
    <w:multiLevelType w:val="hybridMultilevel"/>
    <w:tmpl w:val="79228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AC5C34"/>
    <w:multiLevelType w:val="hybridMultilevel"/>
    <w:tmpl w:val="F282FC08"/>
    <w:lvl w:ilvl="0" w:tplc="F0C2E38A">
      <w:start w:val="1"/>
      <w:numFmt w:val="decimal"/>
      <w:lvlText w:val="%1."/>
      <w:lvlJc w:val="left"/>
      <w:pPr>
        <w:tabs>
          <w:tab w:val="num" w:pos="720"/>
        </w:tabs>
        <w:ind w:left="720" w:right="720" w:hanging="360"/>
      </w:pPr>
      <w:rPr>
        <w:rFonts w:hint="default"/>
        <w:b/>
        <w:bCs/>
        <w:i w:val="0"/>
        <w:iCs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3B78374D"/>
    <w:multiLevelType w:val="hybridMultilevel"/>
    <w:tmpl w:val="71BCDA3A"/>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6">
    <w:nsid w:val="3CB47AD4"/>
    <w:multiLevelType w:val="hybridMultilevel"/>
    <w:tmpl w:val="E9AE622C"/>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7">
    <w:nsid w:val="3D4B1CDF"/>
    <w:multiLevelType w:val="hybridMultilevel"/>
    <w:tmpl w:val="D090AEE0"/>
    <w:lvl w:ilvl="0" w:tplc="04010001">
      <w:start w:val="1"/>
      <w:numFmt w:val="bullet"/>
      <w:lvlText w:val=""/>
      <w:lvlJc w:val="left"/>
      <w:pPr>
        <w:tabs>
          <w:tab w:val="num" w:pos="720"/>
        </w:tabs>
        <w:ind w:left="720"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3D6211AC"/>
    <w:multiLevelType w:val="hybridMultilevel"/>
    <w:tmpl w:val="3152870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19">
    <w:nsid w:val="3F780FEC"/>
    <w:multiLevelType w:val="hybridMultilevel"/>
    <w:tmpl w:val="04CA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3D6726"/>
    <w:multiLevelType w:val="hybridMultilevel"/>
    <w:tmpl w:val="F2F8C622"/>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21">
    <w:nsid w:val="46002788"/>
    <w:multiLevelType w:val="hybridMultilevel"/>
    <w:tmpl w:val="8F6EE5E2"/>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22">
    <w:nsid w:val="4C0511BE"/>
    <w:multiLevelType w:val="hybridMultilevel"/>
    <w:tmpl w:val="E1D650C4"/>
    <w:lvl w:ilvl="0" w:tplc="04090001">
      <w:start w:val="1"/>
      <w:numFmt w:val="bullet"/>
      <w:lvlText w:val=""/>
      <w:lvlJc w:val="left"/>
      <w:pPr>
        <w:tabs>
          <w:tab w:val="num" w:pos="0"/>
        </w:tabs>
        <w:ind w:left="0" w:hanging="360"/>
      </w:pPr>
      <w:rPr>
        <w:rFonts w:ascii="Symbol" w:hAnsi="Symbol" w:hint="default"/>
      </w:rPr>
    </w:lvl>
    <w:lvl w:ilvl="1" w:tplc="C936D5C2">
      <w:start w:val="4"/>
      <w:numFmt w:val="bullet"/>
      <w:lvlText w:val="-"/>
      <w:lvlJc w:val="left"/>
      <w:pPr>
        <w:tabs>
          <w:tab w:val="num" w:pos="720"/>
        </w:tabs>
        <w:ind w:left="720" w:right="720" w:hanging="360"/>
      </w:pPr>
      <w:rPr>
        <w:rFonts w:ascii="Times New Roman" w:eastAsia="Times New Roman" w:hAnsi="Times New Roman" w:cs="Times New Roman"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23">
    <w:nsid w:val="50EA6C95"/>
    <w:multiLevelType w:val="hybridMultilevel"/>
    <w:tmpl w:val="9BB4C0C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43673AC"/>
    <w:multiLevelType w:val="hybridMultilevel"/>
    <w:tmpl w:val="E2DA620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5">
    <w:nsid w:val="5ACA4071"/>
    <w:multiLevelType w:val="hybridMultilevel"/>
    <w:tmpl w:val="FA8C65B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5D473BC0"/>
    <w:multiLevelType w:val="hybridMultilevel"/>
    <w:tmpl w:val="F0C8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023A1"/>
    <w:multiLevelType w:val="hybridMultilevel"/>
    <w:tmpl w:val="4234103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5F5D4E8F"/>
    <w:multiLevelType w:val="hybridMultilevel"/>
    <w:tmpl w:val="0A34D37C"/>
    <w:lvl w:ilvl="0" w:tplc="AF909988">
      <w:start w:val="2"/>
      <w:numFmt w:val="decimal"/>
      <w:lvlText w:val="%1."/>
      <w:lvlJc w:val="left"/>
      <w:pPr>
        <w:tabs>
          <w:tab w:val="num" w:pos="720"/>
        </w:tabs>
        <w:ind w:left="720" w:right="720" w:hanging="360"/>
      </w:pPr>
      <w:rPr>
        <w:rFonts w:hint="default"/>
        <w:b/>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5F376B9"/>
    <w:multiLevelType w:val="hybridMultilevel"/>
    <w:tmpl w:val="E996A8F2"/>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32">
    <w:nsid w:val="66CB4579"/>
    <w:multiLevelType w:val="hybridMultilevel"/>
    <w:tmpl w:val="05200BEE"/>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33">
    <w:nsid w:val="69522B58"/>
    <w:multiLevelType w:val="hybridMultilevel"/>
    <w:tmpl w:val="F44A493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83A17FB"/>
    <w:multiLevelType w:val="hybridMultilevel"/>
    <w:tmpl w:val="35BE3970"/>
    <w:lvl w:ilvl="0" w:tplc="E230EC36">
      <w:start w:val="1"/>
      <w:numFmt w:val="bullet"/>
      <w:lvlText w:val=""/>
      <w:lvlJc w:val="left"/>
      <w:pPr>
        <w:tabs>
          <w:tab w:val="num" w:pos="720"/>
        </w:tabs>
        <w:ind w:left="720" w:right="720" w:hanging="360"/>
      </w:pPr>
      <w:rPr>
        <w:rFonts w:ascii="Symbol" w:hAnsi="Symbol" w:hint="default"/>
      </w:rPr>
    </w:lvl>
    <w:lvl w:ilvl="1" w:tplc="04010003">
      <w:start w:val="1"/>
      <w:numFmt w:val="decimal"/>
      <w:lvlText w:val="%2."/>
      <w:lvlJc w:val="left"/>
      <w:pPr>
        <w:tabs>
          <w:tab w:val="num" w:pos="1440"/>
        </w:tabs>
        <w:ind w:left="1440" w:right="1440" w:hanging="360"/>
      </w:pPr>
    </w:lvl>
    <w:lvl w:ilvl="2" w:tplc="04010005">
      <w:start w:val="1"/>
      <w:numFmt w:val="decimal"/>
      <w:lvlText w:val="%3."/>
      <w:lvlJc w:val="left"/>
      <w:pPr>
        <w:tabs>
          <w:tab w:val="num" w:pos="2160"/>
        </w:tabs>
        <w:ind w:left="2160" w:right="2160" w:hanging="360"/>
      </w:pPr>
    </w:lvl>
    <w:lvl w:ilvl="3" w:tplc="04010001">
      <w:start w:val="1"/>
      <w:numFmt w:val="decimal"/>
      <w:lvlText w:val="%4."/>
      <w:lvlJc w:val="left"/>
      <w:pPr>
        <w:tabs>
          <w:tab w:val="num" w:pos="2880"/>
        </w:tabs>
        <w:ind w:left="2880" w:right="2880" w:hanging="360"/>
      </w:pPr>
    </w:lvl>
    <w:lvl w:ilvl="4" w:tplc="04010003">
      <w:start w:val="1"/>
      <w:numFmt w:val="decimal"/>
      <w:lvlText w:val="%5."/>
      <w:lvlJc w:val="left"/>
      <w:pPr>
        <w:tabs>
          <w:tab w:val="num" w:pos="3600"/>
        </w:tabs>
        <w:ind w:left="3600" w:right="3600" w:hanging="360"/>
      </w:pPr>
    </w:lvl>
    <w:lvl w:ilvl="5" w:tplc="04010005">
      <w:start w:val="1"/>
      <w:numFmt w:val="decimal"/>
      <w:lvlText w:val="%6."/>
      <w:lvlJc w:val="left"/>
      <w:pPr>
        <w:tabs>
          <w:tab w:val="num" w:pos="4320"/>
        </w:tabs>
        <w:ind w:left="4320" w:right="4320" w:hanging="360"/>
      </w:pPr>
    </w:lvl>
    <w:lvl w:ilvl="6" w:tplc="04010001">
      <w:start w:val="1"/>
      <w:numFmt w:val="decimal"/>
      <w:lvlText w:val="%7."/>
      <w:lvlJc w:val="left"/>
      <w:pPr>
        <w:tabs>
          <w:tab w:val="num" w:pos="5040"/>
        </w:tabs>
        <w:ind w:left="5040" w:right="5040" w:hanging="360"/>
      </w:pPr>
    </w:lvl>
    <w:lvl w:ilvl="7" w:tplc="04010003">
      <w:start w:val="1"/>
      <w:numFmt w:val="decimal"/>
      <w:lvlText w:val="%8."/>
      <w:lvlJc w:val="left"/>
      <w:pPr>
        <w:tabs>
          <w:tab w:val="num" w:pos="5760"/>
        </w:tabs>
        <w:ind w:left="5760" w:right="5760" w:hanging="360"/>
      </w:pPr>
    </w:lvl>
    <w:lvl w:ilvl="8" w:tplc="04010005">
      <w:start w:val="1"/>
      <w:numFmt w:val="decimal"/>
      <w:lvlText w:val="%9."/>
      <w:lvlJc w:val="left"/>
      <w:pPr>
        <w:tabs>
          <w:tab w:val="num" w:pos="6480"/>
        </w:tabs>
        <w:ind w:left="6480" w:right="6480" w:hanging="360"/>
      </w:pPr>
    </w:lvl>
  </w:abstractNum>
  <w:abstractNum w:abstractNumId="35">
    <w:nsid w:val="7E252387"/>
    <w:multiLevelType w:val="hybridMultilevel"/>
    <w:tmpl w:val="6D586450"/>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35"/>
  </w:num>
  <w:num w:numId="2">
    <w:abstractNumId w:val="30"/>
  </w:num>
  <w:num w:numId="3">
    <w:abstractNumId w:val="10"/>
  </w:num>
  <w:num w:numId="4">
    <w:abstractNumId w:val="23"/>
  </w:num>
  <w:num w:numId="5">
    <w:abstractNumId w:val="25"/>
  </w:num>
  <w:num w:numId="6">
    <w:abstractNumId w:val="27"/>
  </w:num>
  <w:num w:numId="7">
    <w:abstractNumId w:val="33"/>
  </w:num>
  <w:num w:numId="8">
    <w:abstractNumId w:val="4"/>
  </w:num>
  <w:num w:numId="9">
    <w:abstractNumId w:val="0"/>
  </w:num>
  <w:num w:numId="10">
    <w:abstractNumId w:val="2"/>
  </w:num>
  <w:num w:numId="11">
    <w:abstractNumId w:val="9"/>
  </w:num>
  <w:num w:numId="12">
    <w:abstractNumId w:val="11"/>
  </w:num>
  <w:num w:numId="13">
    <w:abstractNumId w:val="20"/>
  </w:num>
  <w:num w:numId="14">
    <w:abstractNumId w:val="18"/>
  </w:num>
  <w:num w:numId="15">
    <w:abstractNumId w:val="15"/>
  </w:num>
  <w:num w:numId="16">
    <w:abstractNumId w:val="16"/>
  </w:num>
  <w:num w:numId="17">
    <w:abstractNumId w:val="21"/>
  </w:num>
  <w:num w:numId="18">
    <w:abstractNumId w:val="6"/>
  </w:num>
  <w:num w:numId="19">
    <w:abstractNumId w:val="31"/>
  </w:num>
  <w:num w:numId="20">
    <w:abstractNumId w:val="32"/>
  </w:num>
  <w:num w:numId="21">
    <w:abstractNumId w:val="22"/>
  </w:num>
  <w:num w:numId="22">
    <w:abstractNumId w:val="12"/>
  </w:num>
  <w:num w:numId="23">
    <w:abstractNumId w:val="14"/>
  </w:num>
  <w:num w:numId="24">
    <w:abstractNumId w:val="28"/>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9"/>
  </w:num>
  <w:num w:numId="32">
    <w:abstractNumId w:val="5"/>
  </w:num>
  <w:num w:numId="33">
    <w:abstractNumId w:val="24"/>
  </w:num>
  <w:num w:numId="34">
    <w:abstractNumId w:val="1"/>
  </w:num>
  <w:num w:numId="35">
    <w:abstractNumId w:val="26"/>
  </w:num>
  <w:num w:numId="36">
    <w:abstractNumId w:val="8"/>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17"/>
  </w:num>
  <w:num w:numId="4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A366C3"/>
    <w:rsid w:val="00001241"/>
    <w:rsid w:val="00001BD2"/>
    <w:rsid w:val="00002D0E"/>
    <w:rsid w:val="00003DAA"/>
    <w:rsid w:val="000048FE"/>
    <w:rsid w:val="00004D8C"/>
    <w:rsid w:val="00016163"/>
    <w:rsid w:val="0001711B"/>
    <w:rsid w:val="00017432"/>
    <w:rsid w:val="00022CD6"/>
    <w:rsid w:val="00025A6A"/>
    <w:rsid w:val="00027B43"/>
    <w:rsid w:val="00027D20"/>
    <w:rsid w:val="00031FB3"/>
    <w:rsid w:val="000321FC"/>
    <w:rsid w:val="00033694"/>
    <w:rsid w:val="0003797D"/>
    <w:rsid w:val="000416C5"/>
    <w:rsid w:val="000433F9"/>
    <w:rsid w:val="00044FB8"/>
    <w:rsid w:val="000502B7"/>
    <w:rsid w:val="000560CF"/>
    <w:rsid w:val="0006123B"/>
    <w:rsid w:val="000617B7"/>
    <w:rsid w:val="000631D2"/>
    <w:rsid w:val="00071C85"/>
    <w:rsid w:val="000765AD"/>
    <w:rsid w:val="00077407"/>
    <w:rsid w:val="00080CE1"/>
    <w:rsid w:val="00083B3C"/>
    <w:rsid w:val="00083D3E"/>
    <w:rsid w:val="00090126"/>
    <w:rsid w:val="0009036C"/>
    <w:rsid w:val="00090C33"/>
    <w:rsid w:val="00095DC6"/>
    <w:rsid w:val="00096D39"/>
    <w:rsid w:val="000A0ABB"/>
    <w:rsid w:val="000A1C19"/>
    <w:rsid w:val="000A4CFE"/>
    <w:rsid w:val="000A66CB"/>
    <w:rsid w:val="000B651A"/>
    <w:rsid w:val="000B699B"/>
    <w:rsid w:val="000B6F5D"/>
    <w:rsid w:val="000B7C15"/>
    <w:rsid w:val="000B7F25"/>
    <w:rsid w:val="000C2581"/>
    <w:rsid w:val="000C3B01"/>
    <w:rsid w:val="000C441C"/>
    <w:rsid w:val="000C5D61"/>
    <w:rsid w:val="000C6F9B"/>
    <w:rsid w:val="000D0A76"/>
    <w:rsid w:val="000D1284"/>
    <w:rsid w:val="000D1337"/>
    <w:rsid w:val="000D2B12"/>
    <w:rsid w:val="000D2B2F"/>
    <w:rsid w:val="000D5D84"/>
    <w:rsid w:val="000D6D7E"/>
    <w:rsid w:val="000E160A"/>
    <w:rsid w:val="000E3506"/>
    <w:rsid w:val="000E7B3B"/>
    <w:rsid w:val="000F7256"/>
    <w:rsid w:val="00100EF5"/>
    <w:rsid w:val="001015F2"/>
    <w:rsid w:val="00101621"/>
    <w:rsid w:val="00101930"/>
    <w:rsid w:val="00106EA9"/>
    <w:rsid w:val="00110391"/>
    <w:rsid w:val="00113707"/>
    <w:rsid w:val="001138ED"/>
    <w:rsid w:val="00117299"/>
    <w:rsid w:val="001213E1"/>
    <w:rsid w:val="00122F79"/>
    <w:rsid w:val="00124686"/>
    <w:rsid w:val="0012771D"/>
    <w:rsid w:val="00131A00"/>
    <w:rsid w:val="00133E1A"/>
    <w:rsid w:val="00133E33"/>
    <w:rsid w:val="00146946"/>
    <w:rsid w:val="00150C7B"/>
    <w:rsid w:val="0015330C"/>
    <w:rsid w:val="00155D30"/>
    <w:rsid w:val="00156A3D"/>
    <w:rsid w:val="00157116"/>
    <w:rsid w:val="00163716"/>
    <w:rsid w:val="001655E7"/>
    <w:rsid w:val="00170CBA"/>
    <w:rsid w:val="00170CF7"/>
    <w:rsid w:val="0017207D"/>
    <w:rsid w:val="00174479"/>
    <w:rsid w:val="00176408"/>
    <w:rsid w:val="00180875"/>
    <w:rsid w:val="00185D95"/>
    <w:rsid w:val="001864E8"/>
    <w:rsid w:val="00186BE7"/>
    <w:rsid w:val="00187616"/>
    <w:rsid w:val="00191043"/>
    <w:rsid w:val="001930FC"/>
    <w:rsid w:val="00195FB8"/>
    <w:rsid w:val="001A32E2"/>
    <w:rsid w:val="001A513A"/>
    <w:rsid w:val="001A53AD"/>
    <w:rsid w:val="001B2040"/>
    <w:rsid w:val="001B5207"/>
    <w:rsid w:val="001C25A7"/>
    <w:rsid w:val="001D004B"/>
    <w:rsid w:val="001D5147"/>
    <w:rsid w:val="001D7527"/>
    <w:rsid w:val="001D7F12"/>
    <w:rsid w:val="001E0D23"/>
    <w:rsid w:val="001E2B62"/>
    <w:rsid w:val="001E5C31"/>
    <w:rsid w:val="001F1D7C"/>
    <w:rsid w:val="001F2328"/>
    <w:rsid w:val="001F267D"/>
    <w:rsid w:val="001F5099"/>
    <w:rsid w:val="001F775E"/>
    <w:rsid w:val="00200E47"/>
    <w:rsid w:val="00201BBB"/>
    <w:rsid w:val="0020282F"/>
    <w:rsid w:val="00202B49"/>
    <w:rsid w:val="00211F75"/>
    <w:rsid w:val="00212C24"/>
    <w:rsid w:val="00212CBE"/>
    <w:rsid w:val="00212FC8"/>
    <w:rsid w:val="00213166"/>
    <w:rsid w:val="00214FC2"/>
    <w:rsid w:val="0022081A"/>
    <w:rsid w:val="00223624"/>
    <w:rsid w:val="00223F56"/>
    <w:rsid w:val="00224D98"/>
    <w:rsid w:val="00225096"/>
    <w:rsid w:val="00225BCA"/>
    <w:rsid w:val="002301D1"/>
    <w:rsid w:val="002355A5"/>
    <w:rsid w:val="00235D9E"/>
    <w:rsid w:val="00237D46"/>
    <w:rsid w:val="002441C7"/>
    <w:rsid w:val="00246CAE"/>
    <w:rsid w:val="0024790C"/>
    <w:rsid w:val="00251125"/>
    <w:rsid w:val="00254C54"/>
    <w:rsid w:val="002556B9"/>
    <w:rsid w:val="002663B3"/>
    <w:rsid w:val="002711C2"/>
    <w:rsid w:val="002870B9"/>
    <w:rsid w:val="002914F9"/>
    <w:rsid w:val="00296226"/>
    <w:rsid w:val="00296662"/>
    <w:rsid w:val="00296EC3"/>
    <w:rsid w:val="002A4A36"/>
    <w:rsid w:val="002A6117"/>
    <w:rsid w:val="002B4405"/>
    <w:rsid w:val="002B7845"/>
    <w:rsid w:val="002C0685"/>
    <w:rsid w:val="002C433E"/>
    <w:rsid w:val="002C5890"/>
    <w:rsid w:val="002D073E"/>
    <w:rsid w:val="002D09B9"/>
    <w:rsid w:val="002D2B3C"/>
    <w:rsid w:val="002D5E37"/>
    <w:rsid w:val="002E1958"/>
    <w:rsid w:val="002E2136"/>
    <w:rsid w:val="002F57CD"/>
    <w:rsid w:val="00310F37"/>
    <w:rsid w:val="00311100"/>
    <w:rsid w:val="0031315C"/>
    <w:rsid w:val="0032261F"/>
    <w:rsid w:val="00331C1A"/>
    <w:rsid w:val="00331E85"/>
    <w:rsid w:val="003330E5"/>
    <w:rsid w:val="0033454C"/>
    <w:rsid w:val="003356FE"/>
    <w:rsid w:val="00342FAB"/>
    <w:rsid w:val="00343CEA"/>
    <w:rsid w:val="00354CEE"/>
    <w:rsid w:val="00360AF7"/>
    <w:rsid w:val="003636BE"/>
    <w:rsid w:val="00364E5F"/>
    <w:rsid w:val="00367679"/>
    <w:rsid w:val="00374DF8"/>
    <w:rsid w:val="00385EFE"/>
    <w:rsid w:val="003930AA"/>
    <w:rsid w:val="0039380E"/>
    <w:rsid w:val="00394929"/>
    <w:rsid w:val="00394EEE"/>
    <w:rsid w:val="0039526C"/>
    <w:rsid w:val="003960CB"/>
    <w:rsid w:val="00396F32"/>
    <w:rsid w:val="003A0D2B"/>
    <w:rsid w:val="003B2B82"/>
    <w:rsid w:val="003B368B"/>
    <w:rsid w:val="003B639D"/>
    <w:rsid w:val="003C13DB"/>
    <w:rsid w:val="003C2326"/>
    <w:rsid w:val="003D2BFE"/>
    <w:rsid w:val="003D3391"/>
    <w:rsid w:val="003D46F8"/>
    <w:rsid w:val="003D7433"/>
    <w:rsid w:val="003D7B6F"/>
    <w:rsid w:val="003E3F51"/>
    <w:rsid w:val="003F0A56"/>
    <w:rsid w:val="003F4452"/>
    <w:rsid w:val="003F5A11"/>
    <w:rsid w:val="00405623"/>
    <w:rsid w:val="004065B2"/>
    <w:rsid w:val="00410086"/>
    <w:rsid w:val="00410DDF"/>
    <w:rsid w:val="00411FBC"/>
    <w:rsid w:val="00413FA6"/>
    <w:rsid w:val="00414990"/>
    <w:rsid w:val="00421BD9"/>
    <w:rsid w:val="00427222"/>
    <w:rsid w:val="00433E16"/>
    <w:rsid w:val="004365C7"/>
    <w:rsid w:val="004405D9"/>
    <w:rsid w:val="004432BE"/>
    <w:rsid w:val="004459A8"/>
    <w:rsid w:val="00445C45"/>
    <w:rsid w:val="00452AEF"/>
    <w:rsid w:val="00456322"/>
    <w:rsid w:val="00456C39"/>
    <w:rsid w:val="0046082F"/>
    <w:rsid w:val="00461A7B"/>
    <w:rsid w:val="00464D6E"/>
    <w:rsid w:val="0046576B"/>
    <w:rsid w:val="00467B3E"/>
    <w:rsid w:val="004748F2"/>
    <w:rsid w:val="00482932"/>
    <w:rsid w:val="00484252"/>
    <w:rsid w:val="004868F5"/>
    <w:rsid w:val="00493813"/>
    <w:rsid w:val="00494806"/>
    <w:rsid w:val="004A0AE2"/>
    <w:rsid w:val="004A2C49"/>
    <w:rsid w:val="004B001B"/>
    <w:rsid w:val="004B1C8C"/>
    <w:rsid w:val="004B2D49"/>
    <w:rsid w:val="004B37BE"/>
    <w:rsid w:val="004B4961"/>
    <w:rsid w:val="004B4DF7"/>
    <w:rsid w:val="004B67A2"/>
    <w:rsid w:val="004C06EF"/>
    <w:rsid w:val="004C14FE"/>
    <w:rsid w:val="004C7DCA"/>
    <w:rsid w:val="004D12F8"/>
    <w:rsid w:val="004D3A79"/>
    <w:rsid w:val="004D687E"/>
    <w:rsid w:val="004E610E"/>
    <w:rsid w:val="004F4C25"/>
    <w:rsid w:val="004F6AE9"/>
    <w:rsid w:val="0050028D"/>
    <w:rsid w:val="00506B1A"/>
    <w:rsid w:val="005135C7"/>
    <w:rsid w:val="005162FF"/>
    <w:rsid w:val="00521BC9"/>
    <w:rsid w:val="00527998"/>
    <w:rsid w:val="00530108"/>
    <w:rsid w:val="00533615"/>
    <w:rsid w:val="00535F58"/>
    <w:rsid w:val="005369D3"/>
    <w:rsid w:val="00537694"/>
    <w:rsid w:val="00540D37"/>
    <w:rsid w:val="005443CC"/>
    <w:rsid w:val="00551D25"/>
    <w:rsid w:val="00556DFC"/>
    <w:rsid w:val="0056089C"/>
    <w:rsid w:val="00560D43"/>
    <w:rsid w:val="00565679"/>
    <w:rsid w:val="005671C4"/>
    <w:rsid w:val="00580C01"/>
    <w:rsid w:val="00584738"/>
    <w:rsid w:val="0058704C"/>
    <w:rsid w:val="00591E3C"/>
    <w:rsid w:val="00592D77"/>
    <w:rsid w:val="00594893"/>
    <w:rsid w:val="0059670B"/>
    <w:rsid w:val="005971FF"/>
    <w:rsid w:val="005972E1"/>
    <w:rsid w:val="005A0A8C"/>
    <w:rsid w:val="005A0C08"/>
    <w:rsid w:val="005A3CB6"/>
    <w:rsid w:val="005B62F8"/>
    <w:rsid w:val="005C0776"/>
    <w:rsid w:val="005C270B"/>
    <w:rsid w:val="005C28E9"/>
    <w:rsid w:val="005C553F"/>
    <w:rsid w:val="005D08AF"/>
    <w:rsid w:val="005D1EC0"/>
    <w:rsid w:val="005D21F2"/>
    <w:rsid w:val="005D22F7"/>
    <w:rsid w:val="005D279A"/>
    <w:rsid w:val="005D3820"/>
    <w:rsid w:val="005D41D3"/>
    <w:rsid w:val="005E02CB"/>
    <w:rsid w:val="005E0B74"/>
    <w:rsid w:val="005E0E1F"/>
    <w:rsid w:val="005E2DAC"/>
    <w:rsid w:val="005E40E3"/>
    <w:rsid w:val="005E4F0A"/>
    <w:rsid w:val="005E50B6"/>
    <w:rsid w:val="005F0D4A"/>
    <w:rsid w:val="005F18E7"/>
    <w:rsid w:val="005F42CB"/>
    <w:rsid w:val="005F5B22"/>
    <w:rsid w:val="005F7BAB"/>
    <w:rsid w:val="00601849"/>
    <w:rsid w:val="00603867"/>
    <w:rsid w:val="00612215"/>
    <w:rsid w:val="00612F0E"/>
    <w:rsid w:val="0061443F"/>
    <w:rsid w:val="006158EF"/>
    <w:rsid w:val="00616269"/>
    <w:rsid w:val="006221FB"/>
    <w:rsid w:val="006259AC"/>
    <w:rsid w:val="0062611B"/>
    <w:rsid w:val="006304FA"/>
    <w:rsid w:val="006317C5"/>
    <w:rsid w:val="0063640F"/>
    <w:rsid w:val="00636711"/>
    <w:rsid w:val="00653A73"/>
    <w:rsid w:val="00655A23"/>
    <w:rsid w:val="00657AB6"/>
    <w:rsid w:val="00661FE1"/>
    <w:rsid w:val="00665D04"/>
    <w:rsid w:val="00667B33"/>
    <w:rsid w:val="00670F60"/>
    <w:rsid w:val="00674987"/>
    <w:rsid w:val="00683EA1"/>
    <w:rsid w:val="00695011"/>
    <w:rsid w:val="0069504E"/>
    <w:rsid w:val="006A246C"/>
    <w:rsid w:val="006A4F9F"/>
    <w:rsid w:val="006B1C8C"/>
    <w:rsid w:val="006B1E43"/>
    <w:rsid w:val="006B4CC7"/>
    <w:rsid w:val="006C0C4A"/>
    <w:rsid w:val="006C1B91"/>
    <w:rsid w:val="006C5AC1"/>
    <w:rsid w:val="006C66B4"/>
    <w:rsid w:val="006C6F04"/>
    <w:rsid w:val="006C750F"/>
    <w:rsid w:val="006C7AAD"/>
    <w:rsid w:val="006D4E39"/>
    <w:rsid w:val="006D5E37"/>
    <w:rsid w:val="006E0CED"/>
    <w:rsid w:val="006E0D63"/>
    <w:rsid w:val="006E32DD"/>
    <w:rsid w:val="006F5C9D"/>
    <w:rsid w:val="006F6282"/>
    <w:rsid w:val="006F7BA5"/>
    <w:rsid w:val="00711FD7"/>
    <w:rsid w:val="0072226A"/>
    <w:rsid w:val="00746094"/>
    <w:rsid w:val="0074620A"/>
    <w:rsid w:val="007518A3"/>
    <w:rsid w:val="0075766C"/>
    <w:rsid w:val="00757945"/>
    <w:rsid w:val="00760215"/>
    <w:rsid w:val="00761C27"/>
    <w:rsid w:val="00762432"/>
    <w:rsid w:val="00762BD2"/>
    <w:rsid w:val="00763660"/>
    <w:rsid w:val="0076738E"/>
    <w:rsid w:val="00784217"/>
    <w:rsid w:val="00786BB7"/>
    <w:rsid w:val="0078786B"/>
    <w:rsid w:val="00793437"/>
    <w:rsid w:val="0079530E"/>
    <w:rsid w:val="00797225"/>
    <w:rsid w:val="00797272"/>
    <w:rsid w:val="007A2C00"/>
    <w:rsid w:val="007B0E7D"/>
    <w:rsid w:val="007B1CDA"/>
    <w:rsid w:val="007B38BE"/>
    <w:rsid w:val="007C10D3"/>
    <w:rsid w:val="007C4212"/>
    <w:rsid w:val="007D1BDA"/>
    <w:rsid w:val="007D456C"/>
    <w:rsid w:val="007D4BEC"/>
    <w:rsid w:val="007D57E9"/>
    <w:rsid w:val="007D57EF"/>
    <w:rsid w:val="007D5BC6"/>
    <w:rsid w:val="007D5C07"/>
    <w:rsid w:val="007E123E"/>
    <w:rsid w:val="007E2562"/>
    <w:rsid w:val="007E4CA5"/>
    <w:rsid w:val="007E575A"/>
    <w:rsid w:val="007F1A76"/>
    <w:rsid w:val="007F257F"/>
    <w:rsid w:val="008062C1"/>
    <w:rsid w:val="00807344"/>
    <w:rsid w:val="00807D9A"/>
    <w:rsid w:val="008108DD"/>
    <w:rsid w:val="008113D0"/>
    <w:rsid w:val="00814941"/>
    <w:rsid w:val="00816B7C"/>
    <w:rsid w:val="00820076"/>
    <w:rsid w:val="00820687"/>
    <w:rsid w:val="008216CC"/>
    <w:rsid w:val="00823329"/>
    <w:rsid w:val="00823359"/>
    <w:rsid w:val="0082699B"/>
    <w:rsid w:val="00827B1B"/>
    <w:rsid w:val="00830C62"/>
    <w:rsid w:val="00832EFF"/>
    <w:rsid w:val="00834970"/>
    <w:rsid w:val="00840240"/>
    <w:rsid w:val="0084037A"/>
    <w:rsid w:val="00840F98"/>
    <w:rsid w:val="008446C5"/>
    <w:rsid w:val="00844A51"/>
    <w:rsid w:val="008551DF"/>
    <w:rsid w:val="0085552B"/>
    <w:rsid w:val="0086234B"/>
    <w:rsid w:val="008623A7"/>
    <w:rsid w:val="00863647"/>
    <w:rsid w:val="008643D6"/>
    <w:rsid w:val="008670F5"/>
    <w:rsid w:val="00870CA7"/>
    <w:rsid w:val="00871BEA"/>
    <w:rsid w:val="00871EAA"/>
    <w:rsid w:val="0087616D"/>
    <w:rsid w:val="00876C29"/>
    <w:rsid w:val="00881201"/>
    <w:rsid w:val="00882481"/>
    <w:rsid w:val="00884C07"/>
    <w:rsid w:val="0088501A"/>
    <w:rsid w:val="00890B95"/>
    <w:rsid w:val="00895197"/>
    <w:rsid w:val="00896C83"/>
    <w:rsid w:val="008A20A0"/>
    <w:rsid w:val="008A3E37"/>
    <w:rsid w:val="008B22EF"/>
    <w:rsid w:val="008B7610"/>
    <w:rsid w:val="008B7963"/>
    <w:rsid w:val="008C4F12"/>
    <w:rsid w:val="008C6DF9"/>
    <w:rsid w:val="008D3529"/>
    <w:rsid w:val="008D471E"/>
    <w:rsid w:val="008E1327"/>
    <w:rsid w:val="008E73D5"/>
    <w:rsid w:val="008E74DC"/>
    <w:rsid w:val="008F028F"/>
    <w:rsid w:val="008F3225"/>
    <w:rsid w:val="008F413F"/>
    <w:rsid w:val="008F5309"/>
    <w:rsid w:val="008F643E"/>
    <w:rsid w:val="008F7850"/>
    <w:rsid w:val="009007A2"/>
    <w:rsid w:val="0090200E"/>
    <w:rsid w:val="00902306"/>
    <w:rsid w:val="00903B0C"/>
    <w:rsid w:val="009041F1"/>
    <w:rsid w:val="00904866"/>
    <w:rsid w:val="009111A3"/>
    <w:rsid w:val="00912129"/>
    <w:rsid w:val="00915429"/>
    <w:rsid w:val="009160F6"/>
    <w:rsid w:val="00917CA6"/>
    <w:rsid w:val="00924D9F"/>
    <w:rsid w:val="0093055C"/>
    <w:rsid w:val="00933F95"/>
    <w:rsid w:val="00936CE3"/>
    <w:rsid w:val="009405A3"/>
    <w:rsid w:val="00942897"/>
    <w:rsid w:val="00943F15"/>
    <w:rsid w:val="00945772"/>
    <w:rsid w:val="00954181"/>
    <w:rsid w:val="00956D2E"/>
    <w:rsid w:val="00960563"/>
    <w:rsid w:val="00962D1C"/>
    <w:rsid w:val="00966BFB"/>
    <w:rsid w:val="00967953"/>
    <w:rsid w:val="009717EE"/>
    <w:rsid w:val="00972ECE"/>
    <w:rsid w:val="00973247"/>
    <w:rsid w:val="00975BD9"/>
    <w:rsid w:val="00980B38"/>
    <w:rsid w:val="00980C7C"/>
    <w:rsid w:val="0098205B"/>
    <w:rsid w:val="009837D4"/>
    <w:rsid w:val="00983D48"/>
    <w:rsid w:val="00983DC1"/>
    <w:rsid w:val="00986021"/>
    <w:rsid w:val="00987F95"/>
    <w:rsid w:val="00992D9E"/>
    <w:rsid w:val="00994893"/>
    <w:rsid w:val="009953F9"/>
    <w:rsid w:val="009A53BC"/>
    <w:rsid w:val="009A6E82"/>
    <w:rsid w:val="009B3878"/>
    <w:rsid w:val="009B69B7"/>
    <w:rsid w:val="009B7455"/>
    <w:rsid w:val="009D0FA0"/>
    <w:rsid w:val="009E1599"/>
    <w:rsid w:val="009E47A7"/>
    <w:rsid w:val="009E5087"/>
    <w:rsid w:val="009E5F97"/>
    <w:rsid w:val="009E6084"/>
    <w:rsid w:val="009E7E21"/>
    <w:rsid w:val="009F2405"/>
    <w:rsid w:val="009F26E3"/>
    <w:rsid w:val="009F2F45"/>
    <w:rsid w:val="009F3886"/>
    <w:rsid w:val="00A0578D"/>
    <w:rsid w:val="00A1152D"/>
    <w:rsid w:val="00A1182F"/>
    <w:rsid w:val="00A11D3E"/>
    <w:rsid w:val="00A17EFC"/>
    <w:rsid w:val="00A2078F"/>
    <w:rsid w:val="00A234D8"/>
    <w:rsid w:val="00A235DF"/>
    <w:rsid w:val="00A25686"/>
    <w:rsid w:val="00A26406"/>
    <w:rsid w:val="00A26831"/>
    <w:rsid w:val="00A274D6"/>
    <w:rsid w:val="00A33111"/>
    <w:rsid w:val="00A33C70"/>
    <w:rsid w:val="00A35CDA"/>
    <w:rsid w:val="00A366C3"/>
    <w:rsid w:val="00A4086B"/>
    <w:rsid w:val="00A41D1B"/>
    <w:rsid w:val="00A4458B"/>
    <w:rsid w:val="00A465C2"/>
    <w:rsid w:val="00A47AE3"/>
    <w:rsid w:val="00A532DC"/>
    <w:rsid w:val="00A57600"/>
    <w:rsid w:val="00A61122"/>
    <w:rsid w:val="00A634F4"/>
    <w:rsid w:val="00A707B7"/>
    <w:rsid w:val="00A70FE7"/>
    <w:rsid w:val="00A8139E"/>
    <w:rsid w:val="00A82D83"/>
    <w:rsid w:val="00A85DC7"/>
    <w:rsid w:val="00A9079B"/>
    <w:rsid w:val="00A911F3"/>
    <w:rsid w:val="00A929C8"/>
    <w:rsid w:val="00A94939"/>
    <w:rsid w:val="00A97E38"/>
    <w:rsid w:val="00AA1D58"/>
    <w:rsid w:val="00AA3923"/>
    <w:rsid w:val="00AA41D4"/>
    <w:rsid w:val="00AB0CEF"/>
    <w:rsid w:val="00AB26F8"/>
    <w:rsid w:val="00AC1DBA"/>
    <w:rsid w:val="00AC660D"/>
    <w:rsid w:val="00AD2EBE"/>
    <w:rsid w:val="00AD604C"/>
    <w:rsid w:val="00AE1E98"/>
    <w:rsid w:val="00AE3E58"/>
    <w:rsid w:val="00AE5D7E"/>
    <w:rsid w:val="00AE7BC4"/>
    <w:rsid w:val="00AF496A"/>
    <w:rsid w:val="00AF5362"/>
    <w:rsid w:val="00AF7BAD"/>
    <w:rsid w:val="00B01BC8"/>
    <w:rsid w:val="00B031F7"/>
    <w:rsid w:val="00B03DC3"/>
    <w:rsid w:val="00B051A9"/>
    <w:rsid w:val="00B060B5"/>
    <w:rsid w:val="00B06143"/>
    <w:rsid w:val="00B10B66"/>
    <w:rsid w:val="00B1188E"/>
    <w:rsid w:val="00B16E81"/>
    <w:rsid w:val="00B1791F"/>
    <w:rsid w:val="00B24071"/>
    <w:rsid w:val="00B279EA"/>
    <w:rsid w:val="00B30169"/>
    <w:rsid w:val="00B30F43"/>
    <w:rsid w:val="00B32709"/>
    <w:rsid w:val="00B33398"/>
    <w:rsid w:val="00B37F86"/>
    <w:rsid w:val="00B42251"/>
    <w:rsid w:val="00B42D38"/>
    <w:rsid w:val="00B43423"/>
    <w:rsid w:val="00B442F7"/>
    <w:rsid w:val="00B5140E"/>
    <w:rsid w:val="00B5355E"/>
    <w:rsid w:val="00B53A7F"/>
    <w:rsid w:val="00B54EE9"/>
    <w:rsid w:val="00B60BD5"/>
    <w:rsid w:val="00B62138"/>
    <w:rsid w:val="00B62991"/>
    <w:rsid w:val="00B650B8"/>
    <w:rsid w:val="00B679BB"/>
    <w:rsid w:val="00B76DB2"/>
    <w:rsid w:val="00B77126"/>
    <w:rsid w:val="00B83C84"/>
    <w:rsid w:val="00B87B50"/>
    <w:rsid w:val="00B91D89"/>
    <w:rsid w:val="00B974A5"/>
    <w:rsid w:val="00BA3636"/>
    <w:rsid w:val="00BB6786"/>
    <w:rsid w:val="00BC0548"/>
    <w:rsid w:val="00BD0672"/>
    <w:rsid w:val="00BD0FF3"/>
    <w:rsid w:val="00BD709E"/>
    <w:rsid w:val="00BE2117"/>
    <w:rsid w:val="00BE3035"/>
    <w:rsid w:val="00BE606F"/>
    <w:rsid w:val="00BE746A"/>
    <w:rsid w:val="00BF0998"/>
    <w:rsid w:val="00BF4E37"/>
    <w:rsid w:val="00BF67B3"/>
    <w:rsid w:val="00C01715"/>
    <w:rsid w:val="00C01995"/>
    <w:rsid w:val="00C02613"/>
    <w:rsid w:val="00C03FB0"/>
    <w:rsid w:val="00C07D60"/>
    <w:rsid w:val="00C11C69"/>
    <w:rsid w:val="00C22F9A"/>
    <w:rsid w:val="00C23E74"/>
    <w:rsid w:val="00C27B10"/>
    <w:rsid w:val="00C27BDE"/>
    <w:rsid w:val="00C4081C"/>
    <w:rsid w:val="00C4233B"/>
    <w:rsid w:val="00C4286D"/>
    <w:rsid w:val="00C43182"/>
    <w:rsid w:val="00C4662B"/>
    <w:rsid w:val="00C66892"/>
    <w:rsid w:val="00C675E3"/>
    <w:rsid w:val="00C75399"/>
    <w:rsid w:val="00C76EAA"/>
    <w:rsid w:val="00C77538"/>
    <w:rsid w:val="00C800CC"/>
    <w:rsid w:val="00C801B0"/>
    <w:rsid w:val="00C80C54"/>
    <w:rsid w:val="00C82713"/>
    <w:rsid w:val="00C843E2"/>
    <w:rsid w:val="00C85ACB"/>
    <w:rsid w:val="00C926BC"/>
    <w:rsid w:val="00C9598C"/>
    <w:rsid w:val="00C9620C"/>
    <w:rsid w:val="00C972F5"/>
    <w:rsid w:val="00C97732"/>
    <w:rsid w:val="00CA2881"/>
    <w:rsid w:val="00CA4523"/>
    <w:rsid w:val="00CA5D28"/>
    <w:rsid w:val="00CA73F9"/>
    <w:rsid w:val="00CA7E68"/>
    <w:rsid w:val="00CB2369"/>
    <w:rsid w:val="00CB2EA5"/>
    <w:rsid w:val="00CC176E"/>
    <w:rsid w:val="00CC218B"/>
    <w:rsid w:val="00CC2509"/>
    <w:rsid w:val="00CC3BDC"/>
    <w:rsid w:val="00CC4B0C"/>
    <w:rsid w:val="00CC4BE7"/>
    <w:rsid w:val="00CC6BAC"/>
    <w:rsid w:val="00CD24C4"/>
    <w:rsid w:val="00CD3EA1"/>
    <w:rsid w:val="00CD65EE"/>
    <w:rsid w:val="00CD68B1"/>
    <w:rsid w:val="00CF4592"/>
    <w:rsid w:val="00CF51F0"/>
    <w:rsid w:val="00CF6788"/>
    <w:rsid w:val="00D01791"/>
    <w:rsid w:val="00D028C2"/>
    <w:rsid w:val="00D02DA5"/>
    <w:rsid w:val="00D106DD"/>
    <w:rsid w:val="00D13786"/>
    <w:rsid w:val="00D20827"/>
    <w:rsid w:val="00D21C4F"/>
    <w:rsid w:val="00D24D8F"/>
    <w:rsid w:val="00D27B99"/>
    <w:rsid w:val="00D30527"/>
    <w:rsid w:val="00D36398"/>
    <w:rsid w:val="00D42F16"/>
    <w:rsid w:val="00D42F4E"/>
    <w:rsid w:val="00D434D2"/>
    <w:rsid w:val="00D44B6A"/>
    <w:rsid w:val="00D46BBA"/>
    <w:rsid w:val="00D50E61"/>
    <w:rsid w:val="00D52EF0"/>
    <w:rsid w:val="00D57F23"/>
    <w:rsid w:val="00D70D3B"/>
    <w:rsid w:val="00D755AA"/>
    <w:rsid w:val="00D855AA"/>
    <w:rsid w:val="00D85A40"/>
    <w:rsid w:val="00D8656E"/>
    <w:rsid w:val="00D91E82"/>
    <w:rsid w:val="00D96155"/>
    <w:rsid w:val="00D97CF2"/>
    <w:rsid w:val="00DA5636"/>
    <w:rsid w:val="00DA7BFE"/>
    <w:rsid w:val="00DB552C"/>
    <w:rsid w:val="00DB6345"/>
    <w:rsid w:val="00DB7140"/>
    <w:rsid w:val="00DC014F"/>
    <w:rsid w:val="00DC3D27"/>
    <w:rsid w:val="00DC6E93"/>
    <w:rsid w:val="00DD004E"/>
    <w:rsid w:val="00DD0C91"/>
    <w:rsid w:val="00DD0D24"/>
    <w:rsid w:val="00DD385E"/>
    <w:rsid w:val="00DD3B63"/>
    <w:rsid w:val="00DD678E"/>
    <w:rsid w:val="00DE41AD"/>
    <w:rsid w:val="00DE7F64"/>
    <w:rsid w:val="00DF1868"/>
    <w:rsid w:val="00DF1D8C"/>
    <w:rsid w:val="00DF2081"/>
    <w:rsid w:val="00DF3B45"/>
    <w:rsid w:val="00DF6BC2"/>
    <w:rsid w:val="00E0086A"/>
    <w:rsid w:val="00E00C4A"/>
    <w:rsid w:val="00E010C1"/>
    <w:rsid w:val="00E0404D"/>
    <w:rsid w:val="00E11967"/>
    <w:rsid w:val="00E12EE2"/>
    <w:rsid w:val="00E15B00"/>
    <w:rsid w:val="00E25018"/>
    <w:rsid w:val="00E25737"/>
    <w:rsid w:val="00E30F21"/>
    <w:rsid w:val="00E32929"/>
    <w:rsid w:val="00E32930"/>
    <w:rsid w:val="00E41D3A"/>
    <w:rsid w:val="00E45843"/>
    <w:rsid w:val="00E45E93"/>
    <w:rsid w:val="00E520E5"/>
    <w:rsid w:val="00E53E0C"/>
    <w:rsid w:val="00E55217"/>
    <w:rsid w:val="00E5776F"/>
    <w:rsid w:val="00E6033C"/>
    <w:rsid w:val="00E63CE2"/>
    <w:rsid w:val="00E65029"/>
    <w:rsid w:val="00E760E2"/>
    <w:rsid w:val="00E80B84"/>
    <w:rsid w:val="00E80C8A"/>
    <w:rsid w:val="00E80DE6"/>
    <w:rsid w:val="00E84BEF"/>
    <w:rsid w:val="00E87AB0"/>
    <w:rsid w:val="00E943DA"/>
    <w:rsid w:val="00E9519F"/>
    <w:rsid w:val="00EA2836"/>
    <w:rsid w:val="00EB4B36"/>
    <w:rsid w:val="00EB5D3F"/>
    <w:rsid w:val="00EB7E06"/>
    <w:rsid w:val="00EC02DD"/>
    <w:rsid w:val="00EC125D"/>
    <w:rsid w:val="00EC2732"/>
    <w:rsid w:val="00EC5844"/>
    <w:rsid w:val="00EC6F26"/>
    <w:rsid w:val="00ED6207"/>
    <w:rsid w:val="00EF3C01"/>
    <w:rsid w:val="00EF776F"/>
    <w:rsid w:val="00F01EF5"/>
    <w:rsid w:val="00F2425A"/>
    <w:rsid w:val="00F26B06"/>
    <w:rsid w:val="00F278B8"/>
    <w:rsid w:val="00F30BBE"/>
    <w:rsid w:val="00F30DF5"/>
    <w:rsid w:val="00F3108B"/>
    <w:rsid w:val="00F31757"/>
    <w:rsid w:val="00F3489C"/>
    <w:rsid w:val="00F34D66"/>
    <w:rsid w:val="00F37E0B"/>
    <w:rsid w:val="00F37F8C"/>
    <w:rsid w:val="00F40DD3"/>
    <w:rsid w:val="00F46F5A"/>
    <w:rsid w:val="00F4769E"/>
    <w:rsid w:val="00F50970"/>
    <w:rsid w:val="00F534F7"/>
    <w:rsid w:val="00F65DB4"/>
    <w:rsid w:val="00F66C98"/>
    <w:rsid w:val="00F7126B"/>
    <w:rsid w:val="00F71A82"/>
    <w:rsid w:val="00F73163"/>
    <w:rsid w:val="00F818E6"/>
    <w:rsid w:val="00F82BFC"/>
    <w:rsid w:val="00F845EB"/>
    <w:rsid w:val="00F84A28"/>
    <w:rsid w:val="00F865CA"/>
    <w:rsid w:val="00F87AA2"/>
    <w:rsid w:val="00F91C49"/>
    <w:rsid w:val="00F94A2C"/>
    <w:rsid w:val="00F95733"/>
    <w:rsid w:val="00FA397A"/>
    <w:rsid w:val="00FA4199"/>
    <w:rsid w:val="00FA4EC0"/>
    <w:rsid w:val="00FB7CB6"/>
    <w:rsid w:val="00FC0D78"/>
    <w:rsid w:val="00FD636C"/>
    <w:rsid w:val="00FE05C2"/>
    <w:rsid w:val="00FE187D"/>
    <w:rsid w:val="00FE241F"/>
    <w:rsid w:val="00FE5F09"/>
    <w:rsid w:val="00FE73B6"/>
    <w:rsid w:val="00FE76F7"/>
    <w:rsid w:val="00FF370F"/>
    <w:rsid w:val="00FF535E"/>
    <w:rsid w:val="00FF7B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F8"/>
    <w:pPr>
      <w:overflowPunct w:val="0"/>
      <w:autoSpaceDE w:val="0"/>
      <w:autoSpaceDN w:val="0"/>
      <w:adjustRightInd w:val="0"/>
      <w:textAlignment w:val="baseline"/>
    </w:pPr>
  </w:style>
  <w:style w:type="paragraph" w:styleId="Heading1">
    <w:name w:val="heading 1"/>
    <w:basedOn w:val="Normal"/>
    <w:next w:val="Normal"/>
    <w:qFormat/>
    <w:rsid w:val="00374DF8"/>
    <w:pPr>
      <w:keepNext/>
      <w:tabs>
        <w:tab w:val="left" w:pos="284"/>
      </w:tabs>
      <w:ind w:left="284"/>
      <w:jc w:val="both"/>
      <w:outlineLvl w:val="0"/>
    </w:pPr>
    <w:rPr>
      <w:rFonts w:cs="Simplified Arabic"/>
      <w:b/>
      <w:bCs/>
      <w:i/>
      <w:iCs/>
      <w:sz w:val="18"/>
      <w:szCs w:val="18"/>
    </w:rPr>
  </w:style>
  <w:style w:type="paragraph" w:styleId="Heading2">
    <w:name w:val="heading 2"/>
    <w:basedOn w:val="Normal"/>
    <w:next w:val="Normal"/>
    <w:qFormat/>
    <w:rsid w:val="00374DF8"/>
    <w:pPr>
      <w:keepNext/>
      <w:jc w:val="both"/>
      <w:outlineLvl w:val="1"/>
    </w:pPr>
    <w:rPr>
      <w:b/>
      <w:bCs/>
    </w:rPr>
  </w:style>
  <w:style w:type="paragraph" w:styleId="Heading3">
    <w:name w:val="heading 3"/>
    <w:basedOn w:val="Normal"/>
    <w:next w:val="Normal"/>
    <w:link w:val="Heading3Char"/>
    <w:uiPriority w:val="9"/>
    <w:semiHidden/>
    <w:unhideWhenUsed/>
    <w:qFormat/>
    <w:rsid w:val="00445C45"/>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711FD7"/>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qFormat/>
    <w:rsid w:val="00374DF8"/>
    <w:pPr>
      <w:keepNext/>
      <w:overflowPunct/>
      <w:autoSpaceDE/>
      <w:autoSpaceDN/>
      <w:bidi/>
      <w:adjustRightInd/>
      <w:jc w:val="center"/>
      <w:textAlignment w:val="auto"/>
      <w:outlineLvl w:val="5"/>
    </w:pPr>
    <w:rPr>
      <w:rFonts w:cs="Simplified Arabic"/>
      <w:b/>
      <w:bCs/>
    </w:rPr>
  </w:style>
  <w:style w:type="paragraph" w:styleId="Heading7">
    <w:name w:val="heading 7"/>
    <w:basedOn w:val="Normal"/>
    <w:next w:val="Normal"/>
    <w:link w:val="Heading7Char"/>
    <w:uiPriority w:val="9"/>
    <w:semiHidden/>
    <w:unhideWhenUsed/>
    <w:qFormat/>
    <w:rsid w:val="00396F3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65B2"/>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4065B2"/>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74DF8"/>
    <w:pPr>
      <w:tabs>
        <w:tab w:val="center" w:pos="4153"/>
        <w:tab w:val="right" w:pos="8306"/>
      </w:tabs>
    </w:pPr>
  </w:style>
  <w:style w:type="paragraph" w:styleId="Footer">
    <w:name w:val="footer"/>
    <w:basedOn w:val="Normal"/>
    <w:link w:val="FooterChar"/>
    <w:uiPriority w:val="99"/>
    <w:rsid w:val="00374DF8"/>
    <w:pPr>
      <w:tabs>
        <w:tab w:val="center" w:pos="4153"/>
        <w:tab w:val="right" w:pos="8306"/>
      </w:tabs>
    </w:pPr>
  </w:style>
  <w:style w:type="paragraph" w:styleId="BodyTextIndent">
    <w:name w:val="Body Text Indent"/>
    <w:basedOn w:val="Normal"/>
    <w:link w:val="BodyTextIndentChar"/>
    <w:semiHidden/>
    <w:rsid w:val="00374DF8"/>
    <w:pPr>
      <w:overflowPunct/>
      <w:autoSpaceDE/>
      <w:autoSpaceDN/>
      <w:bidi/>
      <w:adjustRightInd/>
      <w:ind w:hanging="1"/>
      <w:jc w:val="lowKashida"/>
      <w:textAlignment w:val="auto"/>
    </w:pPr>
    <w:rPr>
      <w:rFonts w:cs="Simplified Arabic"/>
    </w:rPr>
  </w:style>
  <w:style w:type="character" w:styleId="FootnoteReference">
    <w:name w:val="footnote reference"/>
    <w:basedOn w:val="DefaultParagraphFont"/>
    <w:semiHidden/>
    <w:rsid w:val="00374DF8"/>
    <w:rPr>
      <w:vertAlign w:val="superscript"/>
    </w:rPr>
  </w:style>
  <w:style w:type="paragraph" w:styleId="BodyTextIndent2">
    <w:name w:val="Body Text Indent 2"/>
    <w:basedOn w:val="Normal"/>
    <w:semiHidden/>
    <w:rsid w:val="00374DF8"/>
    <w:pPr>
      <w:numPr>
        <w:ilvl w:val="12"/>
      </w:numPr>
      <w:overflowPunct/>
      <w:autoSpaceDE/>
      <w:autoSpaceDN/>
      <w:adjustRightInd/>
      <w:ind w:left="142"/>
      <w:jc w:val="lowKashida"/>
      <w:textAlignment w:val="auto"/>
    </w:pPr>
    <w:rPr>
      <w:rFonts w:cs="Traditional Arabic"/>
      <w:sz w:val="24"/>
    </w:rPr>
  </w:style>
  <w:style w:type="paragraph" w:styleId="BodyText2">
    <w:name w:val="Body Text 2"/>
    <w:basedOn w:val="Normal"/>
    <w:link w:val="BodyText2Char"/>
    <w:semiHidden/>
    <w:rsid w:val="00374DF8"/>
    <w:pPr>
      <w:overflowPunct/>
      <w:autoSpaceDE/>
      <w:autoSpaceDN/>
      <w:bidi/>
      <w:adjustRightInd/>
      <w:jc w:val="lowKashida"/>
      <w:textAlignment w:val="auto"/>
    </w:pPr>
    <w:rPr>
      <w:rFonts w:cs="Simplified Arabic"/>
    </w:rPr>
  </w:style>
  <w:style w:type="paragraph" w:styleId="FootnoteText">
    <w:name w:val="footnote text"/>
    <w:basedOn w:val="Normal"/>
    <w:semiHidden/>
    <w:rsid w:val="00374DF8"/>
    <w:pPr>
      <w:overflowPunct/>
      <w:autoSpaceDE/>
      <w:autoSpaceDN/>
      <w:bidi/>
      <w:adjustRightInd/>
      <w:textAlignment w:val="auto"/>
    </w:pPr>
    <w:rPr>
      <w:rFonts w:cs="Traditional Arabic"/>
    </w:rPr>
  </w:style>
  <w:style w:type="paragraph" w:styleId="BodyText">
    <w:name w:val="Body Text"/>
    <w:basedOn w:val="Normal"/>
    <w:semiHidden/>
    <w:rsid w:val="00374DF8"/>
    <w:pPr>
      <w:tabs>
        <w:tab w:val="left" w:pos="0"/>
      </w:tabs>
      <w:overflowPunct/>
      <w:autoSpaceDE/>
      <w:autoSpaceDN/>
      <w:bidi/>
      <w:adjustRightInd/>
      <w:jc w:val="lowKashida"/>
      <w:textAlignment w:val="auto"/>
    </w:pPr>
    <w:rPr>
      <w:rFonts w:cs="Simplified Arabic"/>
    </w:rPr>
  </w:style>
  <w:style w:type="paragraph" w:styleId="Title">
    <w:name w:val="Title"/>
    <w:basedOn w:val="Normal"/>
    <w:link w:val="TitleChar"/>
    <w:qFormat/>
    <w:rsid w:val="00374DF8"/>
    <w:pPr>
      <w:overflowPunct/>
      <w:autoSpaceDE/>
      <w:autoSpaceDN/>
      <w:bidi/>
      <w:adjustRightInd/>
      <w:jc w:val="center"/>
      <w:textAlignment w:val="auto"/>
    </w:pPr>
    <w:rPr>
      <w:rFonts w:cs="Simplified Arabic"/>
      <w:b/>
      <w:bCs/>
    </w:rPr>
  </w:style>
  <w:style w:type="paragraph" w:styleId="BodyTextIndent3">
    <w:name w:val="Body Text Indent 3"/>
    <w:basedOn w:val="Normal"/>
    <w:semiHidden/>
    <w:rsid w:val="00374DF8"/>
    <w:pPr>
      <w:ind w:left="284"/>
    </w:pPr>
  </w:style>
  <w:style w:type="character" w:styleId="PageNumber">
    <w:name w:val="page number"/>
    <w:basedOn w:val="DefaultParagraphFont"/>
    <w:semiHidden/>
    <w:rsid w:val="00374DF8"/>
  </w:style>
  <w:style w:type="paragraph" w:styleId="BodyText3">
    <w:name w:val="Body Text 3"/>
    <w:basedOn w:val="Normal"/>
    <w:semiHidden/>
    <w:rsid w:val="00374DF8"/>
    <w:pPr>
      <w:ind w:right="282"/>
      <w:jc w:val="both"/>
    </w:pPr>
    <w:rPr>
      <w:rFonts w:cs="Simplified Arabic"/>
    </w:rPr>
  </w:style>
  <w:style w:type="paragraph" w:styleId="BalloonText">
    <w:name w:val="Balloon Text"/>
    <w:basedOn w:val="Normal"/>
    <w:link w:val="BalloonTextChar"/>
    <w:uiPriority w:val="99"/>
    <w:semiHidden/>
    <w:unhideWhenUsed/>
    <w:rsid w:val="00797225"/>
    <w:rPr>
      <w:rFonts w:ascii="Tahoma" w:hAnsi="Tahoma" w:cs="Tahoma"/>
      <w:sz w:val="16"/>
      <w:szCs w:val="16"/>
    </w:rPr>
  </w:style>
  <w:style w:type="character" w:customStyle="1" w:styleId="BalloonTextChar">
    <w:name w:val="Balloon Text Char"/>
    <w:basedOn w:val="DefaultParagraphFont"/>
    <w:link w:val="BalloonText"/>
    <w:uiPriority w:val="99"/>
    <w:semiHidden/>
    <w:rsid w:val="00797225"/>
    <w:rPr>
      <w:rFonts w:ascii="Tahoma" w:hAnsi="Tahoma" w:cs="Tahoma"/>
      <w:sz w:val="16"/>
      <w:szCs w:val="16"/>
    </w:rPr>
  </w:style>
  <w:style w:type="paragraph" w:styleId="ListParagraph">
    <w:name w:val="List Paragraph"/>
    <w:basedOn w:val="Normal"/>
    <w:uiPriority w:val="34"/>
    <w:qFormat/>
    <w:rsid w:val="003E3F51"/>
    <w:pPr>
      <w:ind w:left="720"/>
    </w:pPr>
  </w:style>
  <w:style w:type="character" w:customStyle="1" w:styleId="BodyText2Char">
    <w:name w:val="Body Text 2 Char"/>
    <w:basedOn w:val="DefaultParagraphFont"/>
    <w:link w:val="BodyText2"/>
    <w:semiHidden/>
    <w:rsid w:val="00973247"/>
    <w:rPr>
      <w:rFonts w:cs="Simplified Arabic"/>
    </w:rPr>
  </w:style>
  <w:style w:type="character" w:customStyle="1" w:styleId="longtext">
    <w:name w:val="long_text"/>
    <w:basedOn w:val="DefaultParagraphFont"/>
    <w:rsid w:val="000617B7"/>
  </w:style>
  <w:style w:type="character" w:customStyle="1" w:styleId="hps">
    <w:name w:val="hps"/>
    <w:basedOn w:val="DefaultParagraphFont"/>
    <w:rsid w:val="000617B7"/>
  </w:style>
  <w:style w:type="character" w:customStyle="1" w:styleId="FooterChar">
    <w:name w:val="Footer Char"/>
    <w:basedOn w:val="DefaultParagraphFont"/>
    <w:link w:val="Footer"/>
    <w:uiPriority w:val="99"/>
    <w:rsid w:val="000A4CFE"/>
  </w:style>
  <w:style w:type="character" w:customStyle="1" w:styleId="BodyTextIndentChar">
    <w:name w:val="Body Text Indent Char"/>
    <w:basedOn w:val="DefaultParagraphFont"/>
    <w:link w:val="BodyTextIndent"/>
    <w:semiHidden/>
    <w:rsid w:val="005971FF"/>
    <w:rPr>
      <w:rFonts w:cs="Simplified Arabic"/>
    </w:rPr>
  </w:style>
  <w:style w:type="character" w:customStyle="1" w:styleId="shorttext">
    <w:name w:val="short_text"/>
    <w:basedOn w:val="DefaultParagraphFont"/>
    <w:rsid w:val="00DB6345"/>
  </w:style>
  <w:style w:type="character" w:customStyle="1" w:styleId="TitleChar">
    <w:name w:val="Title Char"/>
    <w:basedOn w:val="DefaultParagraphFont"/>
    <w:link w:val="Title"/>
    <w:uiPriority w:val="10"/>
    <w:locked/>
    <w:rsid w:val="00762BD2"/>
    <w:rPr>
      <w:rFonts w:cs="Simplified Arabic"/>
      <w:b/>
      <w:bCs/>
    </w:rPr>
  </w:style>
  <w:style w:type="character" w:customStyle="1" w:styleId="Heading7Char">
    <w:name w:val="Heading 7 Char"/>
    <w:basedOn w:val="DefaultParagraphFont"/>
    <w:link w:val="Heading7"/>
    <w:uiPriority w:val="9"/>
    <w:semiHidden/>
    <w:rsid w:val="00396F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065B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4065B2"/>
    <w:rPr>
      <w:rFonts w:asciiTheme="majorHAnsi" w:eastAsiaTheme="majorEastAsia" w:hAnsiTheme="majorHAnsi" w:cstheme="majorBidi"/>
      <w:i/>
      <w:iCs/>
      <w:color w:val="404040" w:themeColor="text1" w:themeTint="BF"/>
    </w:rPr>
  </w:style>
  <w:style w:type="character" w:customStyle="1" w:styleId="Heading3Char">
    <w:name w:val="Heading 3 Char"/>
    <w:basedOn w:val="DefaultParagraphFont"/>
    <w:link w:val="Heading3"/>
    <w:uiPriority w:val="9"/>
    <w:semiHidden/>
    <w:rsid w:val="00445C45"/>
    <w:rPr>
      <w:rFonts w:asciiTheme="majorHAnsi" w:eastAsiaTheme="majorEastAsia" w:hAnsiTheme="majorHAnsi" w:cstheme="majorBidi"/>
      <w:b/>
      <w:bCs/>
      <w:color w:val="4F81BD" w:themeColor="accent1"/>
    </w:rPr>
  </w:style>
  <w:style w:type="paragraph" w:customStyle="1" w:styleId="xl42">
    <w:name w:val="xl42"/>
    <w:basedOn w:val="Normal"/>
    <w:rsid w:val="00917CA6"/>
    <w:pPr>
      <w:pBdr>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18"/>
      <w:szCs w:val="18"/>
      <w:lang w:eastAsia="ar-SA"/>
    </w:rPr>
  </w:style>
  <w:style w:type="character" w:customStyle="1" w:styleId="Heading5Char">
    <w:name w:val="Heading 5 Char"/>
    <w:basedOn w:val="DefaultParagraphFont"/>
    <w:link w:val="Heading5"/>
    <w:uiPriority w:val="9"/>
    <w:semiHidden/>
    <w:rsid w:val="00711FD7"/>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uiPriority w:val="99"/>
    <w:semiHidden/>
    <w:unhideWhenUsed/>
    <w:rsid w:val="00071C85"/>
    <w:rPr>
      <w:sz w:val="16"/>
      <w:szCs w:val="16"/>
    </w:rPr>
  </w:style>
  <w:style w:type="paragraph" w:styleId="CommentText">
    <w:name w:val="annotation text"/>
    <w:basedOn w:val="Normal"/>
    <w:link w:val="CommentTextChar"/>
    <w:uiPriority w:val="99"/>
    <w:semiHidden/>
    <w:unhideWhenUsed/>
    <w:rsid w:val="00071C85"/>
  </w:style>
  <w:style w:type="character" w:customStyle="1" w:styleId="CommentTextChar">
    <w:name w:val="Comment Text Char"/>
    <w:basedOn w:val="DefaultParagraphFont"/>
    <w:link w:val="CommentText"/>
    <w:uiPriority w:val="99"/>
    <w:semiHidden/>
    <w:rsid w:val="00071C85"/>
  </w:style>
  <w:style w:type="paragraph" w:styleId="CommentSubject">
    <w:name w:val="annotation subject"/>
    <w:basedOn w:val="CommentText"/>
    <w:next w:val="CommentText"/>
    <w:link w:val="CommentSubjectChar"/>
    <w:uiPriority w:val="99"/>
    <w:semiHidden/>
    <w:unhideWhenUsed/>
    <w:rsid w:val="00071C85"/>
    <w:rPr>
      <w:b/>
      <w:bCs/>
    </w:rPr>
  </w:style>
  <w:style w:type="character" w:customStyle="1" w:styleId="CommentSubjectChar">
    <w:name w:val="Comment Subject Char"/>
    <w:basedOn w:val="CommentTextChar"/>
    <w:link w:val="CommentSubject"/>
    <w:uiPriority w:val="99"/>
    <w:semiHidden/>
    <w:rsid w:val="00071C85"/>
    <w:rPr>
      <w:b/>
      <w:bCs/>
    </w:rPr>
  </w:style>
  <w:style w:type="paragraph" w:styleId="Revision">
    <w:name w:val="Revision"/>
    <w:hidden/>
    <w:uiPriority w:val="99"/>
    <w:semiHidden/>
    <w:rsid w:val="005443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6.xml"/><Relationship Id="rId22" Type="http://schemas.openxmlformats.org/officeDocument/2006/relationships/header" Target="header1.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9928203594094"/>
          <c:y val="6.5626199369293231E-2"/>
          <c:w val="0.83615611444689064"/>
          <c:h val="0.67772438118266454"/>
        </c:manualLayout>
      </c:layout>
      <c:barChart>
        <c:barDir val="col"/>
        <c:grouping val="clustered"/>
        <c:ser>
          <c:idx val="0"/>
          <c:order val="0"/>
          <c:tx>
            <c:strRef>
              <c:f>Sheet1!$B$1</c:f>
              <c:strCache>
                <c:ptCount val="1"/>
                <c:pt idx="0">
                  <c:v>Column1</c:v>
                </c:pt>
              </c:strCache>
            </c:strRef>
          </c:tx>
          <c:cat>
            <c:strRef>
              <c:f>Sheet1!$A$2:$A$5</c:f>
              <c:strCache>
                <c:ptCount val="4"/>
                <c:pt idx="0">
                  <c:v>Palestine</c:v>
                </c:pt>
                <c:pt idx="1">
                  <c:v>West Bank*</c:v>
                </c:pt>
                <c:pt idx="2">
                  <c:v>Gaza Strip</c:v>
                </c:pt>
                <c:pt idx="3">
                  <c:v>Jerusalem Governorate</c:v>
                </c:pt>
              </c:strCache>
            </c:strRef>
          </c:cat>
          <c:val>
            <c:numRef>
              <c:f>Sheet1!$B$2:$B$5</c:f>
              <c:numCache>
                <c:formatCode>General</c:formatCode>
                <c:ptCount val="4"/>
                <c:pt idx="0">
                  <c:v>745</c:v>
                </c:pt>
                <c:pt idx="1">
                  <c:v>487</c:v>
                </c:pt>
                <c:pt idx="2" formatCode="#,##0">
                  <c:v>4742</c:v>
                </c:pt>
                <c:pt idx="3" formatCode="#,##0">
                  <c:v>1182</c:v>
                </c:pt>
              </c:numCache>
            </c:numRef>
          </c:val>
        </c:ser>
        <c:dLbls>
          <c:showVal val="1"/>
        </c:dLbls>
        <c:axId val="46573824"/>
        <c:axId val="46576000"/>
      </c:barChart>
      <c:catAx>
        <c:axId val="46573824"/>
        <c:scaling>
          <c:orientation val="minMax"/>
        </c:scaling>
        <c:axPos val="b"/>
        <c:title>
          <c:tx>
            <c:rich>
              <a:bodyPr/>
              <a:lstStyle/>
              <a:p>
                <a:pPr rtl="1">
                  <a:defRPr/>
                </a:pPr>
                <a:r>
                  <a:rPr lang="en-US"/>
                  <a:t>Region</a:t>
                </a:r>
              </a:p>
            </c:rich>
          </c:tx>
          <c:layout>
            <c:manualLayout>
              <c:xMode val="edge"/>
              <c:yMode val="edge"/>
              <c:x val="0.47187405848353076"/>
              <c:y val="0.88769444444445089"/>
            </c:manualLayout>
          </c:layout>
        </c:title>
        <c:tickLblPos val="nextTo"/>
        <c:crossAx val="46576000"/>
        <c:crosses val="autoZero"/>
        <c:auto val="1"/>
        <c:lblAlgn val="ctr"/>
        <c:lblOffset val="100"/>
      </c:catAx>
      <c:valAx>
        <c:axId val="46576000"/>
        <c:scaling>
          <c:orientation val="minMax"/>
        </c:scaling>
        <c:axPos val="l"/>
        <c:title>
          <c:tx>
            <c:rich>
              <a:bodyPr rot="-5400000" vert="horz"/>
              <a:lstStyle/>
              <a:p>
                <a:pPr rtl="1">
                  <a:defRPr/>
                </a:pPr>
                <a:r>
                  <a:rPr lang="en-US"/>
                  <a:t>Population</a:t>
                </a:r>
                <a:r>
                  <a:rPr lang="en-US" baseline="0"/>
                  <a:t> Density </a:t>
                </a:r>
                <a:endParaRPr lang="en-US"/>
              </a:p>
            </c:rich>
          </c:tx>
          <c:layout>
            <c:manualLayout>
              <c:xMode val="edge"/>
              <c:yMode val="edge"/>
              <c:x val="1.8996132395991381E-2"/>
              <c:y val="0.17898054373443717"/>
            </c:manualLayout>
          </c:layout>
        </c:title>
        <c:numFmt formatCode="General" sourceLinked="1"/>
        <c:tickLblPos val="nextTo"/>
        <c:crossAx val="46573824"/>
        <c:crosses val="autoZero"/>
        <c:crossBetween val="between"/>
      </c:valAx>
    </c:plotArea>
    <c:plotVisOnly val="1"/>
    <c:dispBlanksAs val="gap"/>
  </c:chart>
  <c:txPr>
    <a:bodyPr/>
    <a:lstStyle/>
    <a:p>
      <a:pPr>
        <a:defRPr sz="800" baseline="0">
          <a:latin typeface="Arial" pitchFamily="34" charset="0"/>
          <a:cs typeface="Arial" pitchFamily="34" charset="0"/>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770186335403742"/>
          <c:y val="8.3003952569171244E-2"/>
          <c:w val="0.81366459627330634"/>
          <c:h val="0.64822134387353425"/>
        </c:manualLayout>
      </c:layout>
      <c:barChart>
        <c:barDir val="col"/>
        <c:grouping val="clustered"/>
        <c:ser>
          <c:idx val="0"/>
          <c:order val="0"/>
          <c:tx>
            <c:strRef>
              <c:f>Sheet1!$A$2</c:f>
              <c:strCache>
                <c:ptCount val="1"/>
                <c:pt idx="0">
                  <c:v>East</c:v>
                </c:pt>
              </c:strCache>
            </c:strRef>
          </c:tx>
          <c:spPr>
            <a:solidFill>
              <a:srgbClr val="9999FF"/>
            </a:solidFill>
            <a:ln w="12683">
              <a:solidFill>
                <a:srgbClr val="000000"/>
              </a:solidFill>
              <a:prstDash val="solid"/>
            </a:ln>
          </c:spPr>
          <c:dLbls>
            <c:numFmt formatCode="#,##0.0" sourceLinked="0"/>
            <c:spPr>
              <a:noFill/>
              <a:ln w="25366">
                <a:noFill/>
              </a:ln>
            </c:spPr>
            <c:txPr>
              <a:bodyPr/>
              <a:lstStyle/>
              <a:p>
                <a:pPr>
                  <a:defRPr sz="749" b="0" i="0" u="none" strike="noStrike" baseline="0">
                    <a:solidFill>
                      <a:srgbClr val="000000"/>
                    </a:solidFill>
                    <a:latin typeface="Arial"/>
                    <a:ea typeface="Arial"/>
                    <a:cs typeface="Arial"/>
                  </a:defRPr>
                </a:pPr>
                <a:endParaRPr lang="ar-SA"/>
              </a:p>
            </c:txPr>
            <c:showVal val="1"/>
          </c:dLbls>
          <c:cat>
            <c:strRef>
              <c:f>Sheet1!$B$1:$E$1</c:f>
              <c:strCache>
                <c:ptCount val="4"/>
                <c:pt idx="0">
                  <c:v>  Output</c:v>
                </c:pt>
                <c:pt idx="1">
                  <c:v>Gross Value Added</c:v>
                </c:pt>
                <c:pt idx="2">
                  <c:v> Compensation of Employees</c:v>
                </c:pt>
                <c:pt idx="3">
                  <c:v>Intermediate Consumption</c:v>
                </c:pt>
              </c:strCache>
            </c:strRef>
          </c:cat>
          <c:val>
            <c:numRef>
              <c:f>Sheet1!$B$2:$E$2</c:f>
              <c:numCache>
                <c:formatCode>General</c:formatCode>
                <c:ptCount val="4"/>
                <c:pt idx="0">
                  <c:v>431.3</c:v>
                </c:pt>
                <c:pt idx="1">
                  <c:v>266.39999999999969</c:v>
                </c:pt>
                <c:pt idx="2">
                  <c:v>72.400000000000006</c:v>
                </c:pt>
                <c:pt idx="3">
                  <c:v>165</c:v>
                </c:pt>
              </c:numCache>
            </c:numRef>
          </c:val>
        </c:ser>
        <c:axId val="50043136"/>
        <c:axId val="51126656"/>
      </c:barChart>
      <c:catAx>
        <c:axId val="50043136"/>
        <c:scaling>
          <c:orientation val="minMax"/>
        </c:scaling>
        <c:axPos val="b"/>
        <c:title>
          <c:tx>
            <c:rich>
              <a:bodyPr/>
              <a:lstStyle/>
              <a:p>
                <a:pPr>
                  <a:defRPr sz="749" b="1" i="0" u="none" strike="noStrike" baseline="0">
                    <a:solidFill>
                      <a:srgbClr val="000000"/>
                    </a:solidFill>
                    <a:latin typeface="Arial"/>
                    <a:ea typeface="Arial"/>
                    <a:cs typeface="Arial"/>
                  </a:defRPr>
                </a:pPr>
                <a:r>
                  <a:rPr lang="en-US"/>
                  <a:t>Indicator</a:t>
                </a:r>
              </a:p>
            </c:rich>
          </c:tx>
          <c:layout>
            <c:manualLayout>
              <c:xMode val="edge"/>
              <c:yMode val="edge"/>
              <c:x val="0.46671416244024838"/>
              <c:y val="0.86344809444729465"/>
            </c:manualLayout>
          </c:layout>
          <c:spPr>
            <a:noFill/>
            <a:ln w="25366">
              <a:noFill/>
            </a:ln>
          </c:spPr>
        </c:title>
        <c:numFmt formatCode="General" sourceLinked="1"/>
        <c:tickLblPos val="nextTo"/>
        <c:spPr>
          <a:ln w="3171">
            <a:solidFill>
              <a:srgbClr val="000000"/>
            </a:solidFill>
            <a:prstDash val="solid"/>
          </a:ln>
        </c:spPr>
        <c:txPr>
          <a:bodyPr rot="0" vert="horz"/>
          <a:lstStyle/>
          <a:p>
            <a:pPr>
              <a:defRPr sz="749" b="0" i="0" u="none" strike="noStrike" baseline="0">
                <a:solidFill>
                  <a:srgbClr val="000000"/>
                </a:solidFill>
                <a:latin typeface="Arial"/>
                <a:ea typeface="Arial"/>
                <a:cs typeface="Arial"/>
              </a:defRPr>
            </a:pPr>
            <a:endParaRPr lang="ar-SA"/>
          </a:p>
        </c:txPr>
        <c:crossAx val="51126656"/>
        <c:crosses val="autoZero"/>
        <c:auto val="1"/>
        <c:lblAlgn val="ctr"/>
        <c:lblOffset val="100"/>
        <c:tickLblSkip val="1"/>
        <c:tickMarkSkip val="1"/>
      </c:catAx>
      <c:valAx>
        <c:axId val="51126656"/>
        <c:scaling>
          <c:orientation val="minMax"/>
        </c:scaling>
        <c:axPos val="l"/>
        <c:title>
          <c:tx>
            <c:rich>
              <a:bodyPr/>
              <a:lstStyle/>
              <a:p>
                <a:pPr>
                  <a:defRPr sz="749" b="1" i="0" u="none" strike="noStrike" baseline="0">
                    <a:solidFill>
                      <a:srgbClr val="000000"/>
                    </a:solidFill>
                    <a:latin typeface="Arial"/>
                    <a:ea typeface="Arial"/>
                    <a:cs typeface="Arial"/>
                  </a:defRPr>
                </a:pPr>
                <a:r>
                  <a:rPr lang="en-US"/>
                  <a:t>Value</a:t>
                </a:r>
              </a:p>
            </c:rich>
          </c:tx>
          <c:layout>
            <c:manualLayout>
              <c:xMode val="edge"/>
              <c:yMode val="edge"/>
              <c:x val="5.5045071949776994E-2"/>
              <c:y val="0.31631630358110013"/>
            </c:manualLayout>
          </c:layout>
          <c:spPr>
            <a:noFill/>
            <a:ln w="25366">
              <a:noFill/>
            </a:ln>
          </c:spPr>
        </c:title>
        <c:numFmt formatCode="General" sourceLinked="1"/>
        <c:tickLblPos val="nextTo"/>
        <c:spPr>
          <a:ln w="3171">
            <a:solidFill>
              <a:srgbClr val="000000"/>
            </a:solidFill>
            <a:prstDash val="solid"/>
          </a:ln>
        </c:spPr>
        <c:txPr>
          <a:bodyPr rot="0" vert="horz"/>
          <a:lstStyle/>
          <a:p>
            <a:pPr>
              <a:defRPr sz="749" b="0" i="0" u="none" strike="noStrike" baseline="0">
                <a:solidFill>
                  <a:srgbClr val="000000"/>
                </a:solidFill>
                <a:latin typeface="Arial"/>
                <a:ea typeface="Arial"/>
                <a:cs typeface="Arial"/>
              </a:defRPr>
            </a:pPr>
            <a:endParaRPr lang="ar-SA"/>
          </a:p>
        </c:txPr>
        <c:crossAx val="50043136"/>
        <c:crosses val="autoZero"/>
        <c:crossBetween val="between"/>
      </c:valAx>
      <c:spPr>
        <a:noFill/>
        <a:ln w="25366">
          <a:noFill/>
        </a:ln>
      </c:spPr>
    </c:plotArea>
    <c:plotVisOnly val="1"/>
    <c:dispBlanksAs val="gap"/>
  </c:chart>
  <c:spPr>
    <a:noFill/>
    <a:ln>
      <a:noFill/>
    </a:ln>
  </c:spPr>
  <c:txPr>
    <a:bodyPr/>
    <a:lstStyle/>
    <a:p>
      <a:pPr>
        <a:defRPr sz="749" b="0"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770186335403742"/>
          <c:y val="8.3003952569171244E-2"/>
          <c:w val="0.81366459627330601"/>
          <c:h val="0.64822134387353392"/>
        </c:manualLayout>
      </c:layout>
      <c:barChart>
        <c:barDir val="col"/>
        <c:grouping val="clustered"/>
        <c:ser>
          <c:idx val="0"/>
          <c:order val="0"/>
          <c:tx>
            <c:strRef>
              <c:f>Sheet1!$A$2</c:f>
              <c:strCache>
                <c:ptCount val="1"/>
                <c:pt idx="0">
                  <c:v>East</c:v>
                </c:pt>
              </c:strCache>
            </c:strRef>
          </c:tx>
          <c:spPr>
            <a:solidFill>
              <a:srgbClr val="9999FF"/>
            </a:solidFill>
            <a:ln w="12683">
              <a:solidFill>
                <a:srgbClr val="000000"/>
              </a:solidFill>
              <a:prstDash val="solid"/>
            </a:ln>
          </c:spPr>
          <c:dLbls>
            <c:numFmt formatCode="#,##0.0" sourceLinked="0"/>
            <c:spPr>
              <a:noFill/>
              <a:ln w="25366">
                <a:noFill/>
              </a:ln>
            </c:spPr>
            <c:txPr>
              <a:bodyPr/>
              <a:lstStyle/>
              <a:p>
                <a:pPr>
                  <a:defRPr sz="749" b="0" i="0" u="none" strike="noStrike" baseline="0">
                    <a:solidFill>
                      <a:srgbClr val="000000"/>
                    </a:solidFill>
                    <a:latin typeface="Arial"/>
                    <a:ea typeface="Arial"/>
                    <a:cs typeface="Arial"/>
                  </a:defRPr>
                </a:pPr>
                <a:endParaRPr lang="ar-SA"/>
              </a:p>
            </c:txPr>
            <c:showVal val="1"/>
          </c:dLbls>
          <c:cat>
            <c:strRef>
              <c:f>Sheet1!$B$1:$E$1</c:f>
              <c:strCache>
                <c:ptCount val="4"/>
                <c:pt idx="0">
                  <c:v>  Output</c:v>
                </c:pt>
                <c:pt idx="1">
                  <c:v> Gross Value Added</c:v>
                </c:pt>
                <c:pt idx="2">
                  <c:v> Compensation of Employees</c:v>
                </c:pt>
                <c:pt idx="3">
                  <c:v>Intermediate Consumption</c:v>
                </c:pt>
              </c:strCache>
            </c:strRef>
          </c:cat>
          <c:val>
            <c:numRef>
              <c:f>Sheet1!$B$2:$E$2</c:f>
              <c:numCache>
                <c:formatCode>General</c:formatCode>
                <c:ptCount val="4"/>
                <c:pt idx="0">
                  <c:v>466039.5</c:v>
                </c:pt>
                <c:pt idx="1">
                  <c:v>298598.59999999998</c:v>
                </c:pt>
                <c:pt idx="2">
                  <c:v>47728.7</c:v>
                </c:pt>
                <c:pt idx="3">
                  <c:v>167440.9</c:v>
                </c:pt>
              </c:numCache>
            </c:numRef>
          </c:val>
        </c:ser>
        <c:axId val="51159808"/>
        <c:axId val="51161728"/>
      </c:barChart>
      <c:catAx>
        <c:axId val="51159808"/>
        <c:scaling>
          <c:orientation val="minMax"/>
        </c:scaling>
        <c:axPos val="b"/>
        <c:title>
          <c:tx>
            <c:rich>
              <a:bodyPr/>
              <a:lstStyle/>
              <a:p>
                <a:pPr>
                  <a:defRPr sz="749" b="1" i="0" u="none" strike="noStrike" baseline="0">
                    <a:solidFill>
                      <a:srgbClr val="000000"/>
                    </a:solidFill>
                    <a:latin typeface="Arial"/>
                    <a:ea typeface="Arial"/>
                    <a:cs typeface="Arial"/>
                  </a:defRPr>
                </a:pPr>
                <a:r>
                  <a:rPr lang="en-US"/>
                  <a:t>Indicator</a:t>
                </a:r>
              </a:p>
            </c:rich>
          </c:tx>
          <c:layout>
            <c:manualLayout>
              <c:xMode val="edge"/>
              <c:yMode val="edge"/>
              <c:x val="0.43413992448915678"/>
              <c:y val="0.87298841427554741"/>
            </c:manualLayout>
          </c:layout>
          <c:spPr>
            <a:noFill/>
            <a:ln w="25366">
              <a:noFill/>
            </a:ln>
          </c:spPr>
        </c:title>
        <c:numFmt formatCode="General" sourceLinked="1"/>
        <c:tickLblPos val="nextTo"/>
        <c:spPr>
          <a:ln w="3171">
            <a:solidFill>
              <a:srgbClr val="000000"/>
            </a:solidFill>
            <a:prstDash val="solid"/>
          </a:ln>
        </c:spPr>
        <c:txPr>
          <a:bodyPr rot="0" vert="horz"/>
          <a:lstStyle/>
          <a:p>
            <a:pPr>
              <a:defRPr sz="749" b="0" i="0" u="none" strike="noStrike" baseline="0">
                <a:solidFill>
                  <a:srgbClr val="000000"/>
                </a:solidFill>
                <a:latin typeface="Arial"/>
                <a:ea typeface="Arial"/>
                <a:cs typeface="Arial"/>
              </a:defRPr>
            </a:pPr>
            <a:endParaRPr lang="ar-SA"/>
          </a:p>
        </c:txPr>
        <c:crossAx val="51161728"/>
        <c:crosses val="autoZero"/>
        <c:auto val="1"/>
        <c:lblAlgn val="ctr"/>
        <c:lblOffset val="100"/>
        <c:tickLblSkip val="1"/>
        <c:tickMarkSkip val="1"/>
      </c:catAx>
      <c:valAx>
        <c:axId val="51161728"/>
        <c:scaling>
          <c:orientation val="minMax"/>
        </c:scaling>
        <c:axPos val="l"/>
        <c:title>
          <c:tx>
            <c:rich>
              <a:bodyPr/>
              <a:lstStyle/>
              <a:p>
                <a:pPr>
                  <a:defRPr sz="749" b="1" i="0" u="none" strike="noStrike" baseline="0">
                    <a:solidFill>
                      <a:srgbClr val="000000"/>
                    </a:solidFill>
                    <a:latin typeface="Arial"/>
                    <a:ea typeface="Arial"/>
                    <a:cs typeface="Arial"/>
                  </a:defRPr>
                </a:pPr>
                <a:r>
                  <a:rPr lang="en-US"/>
                  <a:t>Value</a:t>
                </a:r>
              </a:p>
            </c:rich>
          </c:tx>
          <c:layout>
            <c:manualLayout>
              <c:xMode val="edge"/>
              <c:yMode val="edge"/>
              <c:x val="2.7915171851895602E-2"/>
              <c:y val="0.34748633063084289"/>
            </c:manualLayout>
          </c:layout>
          <c:spPr>
            <a:noFill/>
            <a:ln w="25366">
              <a:noFill/>
            </a:ln>
          </c:spPr>
        </c:title>
        <c:numFmt formatCode="General" sourceLinked="1"/>
        <c:tickLblPos val="nextTo"/>
        <c:spPr>
          <a:ln w="3171">
            <a:solidFill>
              <a:srgbClr val="000000"/>
            </a:solidFill>
            <a:prstDash val="solid"/>
          </a:ln>
        </c:spPr>
        <c:txPr>
          <a:bodyPr rot="0" vert="horz"/>
          <a:lstStyle/>
          <a:p>
            <a:pPr>
              <a:defRPr sz="749" b="0" i="0" u="none" strike="noStrike" baseline="0">
                <a:solidFill>
                  <a:srgbClr val="000000"/>
                </a:solidFill>
                <a:latin typeface="Arial"/>
                <a:ea typeface="Arial"/>
                <a:cs typeface="Arial"/>
              </a:defRPr>
            </a:pPr>
            <a:endParaRPr lang="ar-SA"/>
          </a:p>
        </c:txPr>
        <c:crossAx val="51159808"/>
        <c:crosses val="autoZero"/>
        <c:crossBetween val="between"/>
      </c:valAx>
      <c:spPr>
        <a:noFill/>
        <a:ln w="25366">
          <a:noFill/>
        </a:ln>
      </c:spPr>
    </c:plotArea>
    <c:plotVisOnly val="1"/>
    <c:dispBlanksAs val="gap"/>
  </c:chart>
  <c:spPr>
    <a:noFill/>
    <a:ln>
      <a:noFill/>
    </a:ln>
  </c:spPr>
  <c:txPr>
    <a:bodyPr/>
    <a:lstStyle/>
    <a:p>
      <a:pPr>
        <a:defRPr sz="74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pieChart>
        <c:varyColors val="1"/>
        <c:ser>
          <c:idx val="0"/>
          <c:order val="0"/>
          <c:tx>
            <c:strRef>
              <c:f>Sheet1!$B$1</c:f>
              <c:strCache>
                <c:ptCount val="1"/>
                <c:pt idx="0">
                  <c:v>Column2</c:v>
                </c:pt>
              </c:strCache>
            </c:strRef>
          </c:tx>
          <c:dLbls>
            <c:dLbl>
              <c:idx val="0"/>
              <c:layout>
                <c:manualLayout>
                  <c:x val="2.1706688373354942E-2"/>
                  <c:y val="-9.3023255813953543E-2"/>
                </c:manualLayout>
              </c:layout>
              <c:tx>
                <c:rich>
                  <a:bodyPr/>
                  <a:lstStyle/>
                  <a:p>
                    <a:r>
                      <a:rPr lang="en-US"/>
                      <a:t>35.7%</a:t>
                    </a:r>
                  </a:p>
                </c:rich>
              </c:tx>
              <c:dLblPos val="bestFit"/>
              <c:showVal val="1"/>
            </c:dLbl>
            <c:dLbl>
              <c:idx val="1"/>
              <c:layout>
                <c:manualLayout>
                  <c:x val="0.14380681047347721"/>
                  <c:y val="1.8604651162790801E-2"/>
                </c:manualLayout>
              </c:layout>
              <c:tx>
                <c:rich>
                  <a:bodyPr/>
                  <a:lstStyle/>
                  <a:p>
                    <a:r>
                      <a:rPr lang="en-US"/>
                      <a:t>1.5%</a:t>
                    </a:r>
                  </a:p>
                </c:rich>
              </c:tx>
              <c:dLblPos val="bestFit"/>
              <c:showVal val="1"/>
            </c:dLbl>
            <c:dLbl>
              <c:idx val="2"/>
              <c:layout>
                <c:manualLayout>
                  <c:x val="-8.411341744675048E-2"/>
                  <c:y val="-4.6511627906977524E-3"/>
                </c:manualLayout>
              </c:layout>
              <c:tx>
                <c:rich>
                  <a:bodyPr/>
                  <a:lstStyle/>
                  <a:p>
                    <a:r>
                      <a:rPr lang="en-US"/>
                      <a:t>62.8%</a:t>
                    </a:r>
                  </a:p>
                </c:rich>
              </c:tx>
              <c:dLblPos val="bestFit"/>
              <c:showVal val="1"/>
            </c:dLbl>
            <c:dLblPos val="outEnd"/>
            <c:showVal val="1"/>
            <c:showLeaderLines val="1"/>
          </c:dLbls>
          <c:cat>
            <c:strRef>
              <c:f>Sheet1!$A$2:$A$4</c:f>
              <c:strCache>
                <c:ptCount val="3"/>
                <c:pt idx="0">
                  <c:v> Good</c:v>
                </c:pt>
                <c:pt idx="1">
                  <c:v> Bad</c:v>
                </c:pt>
                <c:pt idx="2">
                  <c:v> Fairly good</c:v>
                </c:pt>
              </c:strCache>
            </c:strRef>
          </c:cat>
          <c:val>
            <c:numRef>
              <c:f>Sheet1!$B$2:$B$4</c:f>
              <c:numCache>
                <c:formatCode>General</c:formatCode>
                <c:ptCount val="3"/>
                <c:pt idx="0">
                  <c:v>35.700000000000003</c:v>
                </c:pt>
                <c:pt idx="1">
                  <c:v>1.5</c:v>
                </c:pt>
                <c:pt idx="2">
                  <c:v>62.8</c:v>
                </c:pt>
              </c:numCache>
            </c:numRef>
          </c:val>
        </c:ser>
        <c:dLbls>
          <c:showVal val="1"/>
        </c:dLbls>
        <c:firstSliceAng val="0"/>
      </c:pieChart>
    </c:plotArea>
    <c:legend>
      <c:legendPos val="t"/>
      <c:layout/>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90573012939001"/>
          <c:y val="0.12171969720249488"/>
          <c:w val="0.87245841035120164"/>
          <c:h val="0.61332322492897562"/>
        </c:manualLayout>
      </c:layout>
      <c:barChart>
        <c:barDir val="col"/>
        <c:grouping val="clustered"/>
        <c:ser>
          <c:idx val="0"/>
          <c:order val="0"/>
          <c:tx>
            <c:strRef>
              <c:f>Sheet1!$A$2</c:f>
              <c:strCache>
                <c:ptCount val="1"/>
                <c:pt idx="0">
                  <c:v>Area  J1</c:v>
                </c:pt>
              </c:strCache>
            </c:strRef>
          </c:tx>
          <c:spPr>
            <a:solidFill>
              <a:srgbClr val="9999FF"/>
            </a:solidFill>
            <a:ln w="12648">
              <a:solidFill>
                <a:srgbClr val="000000"/>
              </a:solidFill>
              <a:prstDash val="solid"/>
            </a:ln>
          </c:spPr>
          <c:dLbls>
            <c:dLbl>
              <c:idx val="0"/>
              <c:layout>
                <c:manualLayout>
                  <c:x val="-1.1873231679353941E-2"/>
                  <c:y val="-7.1695501500109015E-3"/>
                </c:manualLayout>
              </c:layout>
              <c:dLblPos val="outEnd"/>
              <c:showVal val="1"/>
            </c:dLbl>
            <c:dLbl>
              <c:idx val="1"/>
              <c:layout>
                <c:manualLayout>
                  <c:x val="-1.2612717263731281E-2"/>
                  <c:y val="-1.7650291339414041E-2"/>
                </c:manualLayout>
              </c:layout>
              <c:dLblPos val="outEnd"/>
              <c:showVal val="1"/>
            </c:dLbl>
            <c:dLbl>
              <c:idx val="2"/>
              <c:layout>
                <c:manualLayout>
                  <c:x val="-1.5200441833912736E-2"/>
                  <c:y val="-1.1389730129888085E-2"/>
                </c:manualLayout>
              </c:layout>
              <c:tx>
                <c:rich>
                  <a:bodyPr/>
                  <a:lstStyle/>
                  <a:p>
                    <a:r>
                      <a:rPr lang="en-GB" b="0"/>
                      <a:t>1</a:t>
                    </a:r>
                    <a:r>
                      <a:rPr lang="en-GB"/>
                      <a:t>6.0</a:t>
                    </a:r>
                  </a:p>
                </c:rich>
              </c:tx>
              <c:dLblPos val="outEnd"/>
            </c:dLbl>
            <c:dLbl>
              <c:idx val="3"/>
              <c:layout>
                <c:manualLayout>
                  <c:x val="4.3929796217858095E-3"/>
                  <c:y val="-2.8013765610732592E-2"/>
                </c:manualLayout>
              </c:layout>
              <c:dLblPos val="outEnd"/>
              <c:showVal val="1"/>
            </c:dLbl>
            <c:spPr>
              <a:noFill/>
              <a:ln w="25297">
                <a:noFill/>
              </a:ln>
            </c:spPr>
            <c:txPr>
              <a:bodyPr/>
              <a:lstStyle/>
              <a:p>
                <a:pPr>
                  <a:defRPr b="0"/>
                </a:pPr>
                <a:endParaRPr lang="ar-SA"/>
              </a:p>
            </c:txPr>
            <c:showVal val="1"/>
          </c:dLbls>
          <c:cat>
            <c:strRef>
              <c:f>Sheet1!$B$1:$F$1</c:f>
              <c:strCache>
                <c:ptCount val="5"/>
                <c:pt idx="0">
                  <c:v>14-0</c:v>
                </c:pt>
                <c:pt idx="1">
                  <c:v>29-15</c:v>
                </c:pt>
                <c:pt idx="2">
                  <c:v>44-30</c:v>
                </c:pt>
                <c:pt idx="3">
                  <c:v>59-45</c:v>
                </c:pt>
                <c:pt idx="4">
                  <c:v>+60</c:v>
                </c:pt>
              </c:strCache>
            </c:strRef>
          </c:cat>
          <c:val>
            <c:numRef>
              <c:f>Sheet1!$B$2:$F$2</c:f>
              <c:numCache>
                <c:formatCode>General</c:formatCode>
                <c:ptCount val="5"/>
                <c:pt idx="0">
                  <c:v>35.5</c:v>
                </c:pt>
                <c:pt idx="1">
                  <c:v>29.4</c:v>
                </c:pt>
                <c:pt idx="2">
                  <c:v>16</c:v>
                </c:pt>
                <c:pt idx="3">
                  <c:v>12.4</c:v>
                </c:pt>
                <c:pt idx="4">
                  <c:v>6.7</c:v>
                </c:pt>
              </c:numCache>
            </c:numRef>
          </c:val>
        </c:ser>
        <c:ser>
          <c:idx val="1"/>
          <c:order val="1"/>
          <c:tx>
            <c:strRef>
              <c:f>Sheet1!$A$3</c:f>
              <c:strCache>
                <c:ptCount val="1"/>
                <c:pt idx="0">
                  <c:v>Area  J2</c:v>
                </c:pt>
              </c:strCache>
            </c:strRef>
          </c:tx>
          <c:spPr>
            <a:solidFill>
              <a:srgbClr val="993366"/>
            </a:solidFill>
            <a:ln w="12648">
              <a:solidFill>
                <a:srgbClr val="000000"/>
              </a:solidFill>
              <a:prstDash val="solid"/>
            </a:ln>
          </c:spPr>
          <c:dLbls>
            <c:dLbl>
              <c:idx val="0"/>
              <c:layout>
                <c:manualLayout>
                  <c:x val="2.9670600353927492E-3"/>
                  <c:y val="-1.453057921416212E-2"/>
                </c:manualLayout>
              </c:layout>
              <c:dLblPos val="outEnd"/>
              <c:showVal val="1"/>
            </c:dLbl>
            <c:dLbl>
              <c:idx val="1"/>
              <c:layout>
                <c:manualLayout>
                  <c:x val="3.7914561552566012E-4"/>
                  <c:y val="-5.9090595631864024E-3"/>
                </c:manualLayout>
              </c:layout>
              <c:dLblPos val="outEnd"/>
              <c:showVal val="1"/>
            </c:dLbl>
            <c:dLbl>
              <c:idx val="2"/>
              <c:layout>
                <c:manualLayout>
                  <c:x val="1.4882787163244681E-3"/>
                  <c:y val="-4.4237395301847124E-3"/>
                </c:manualLayout>
              </c:layout>
              <c:dLblPos val="outEnd"/>
              <c:showVal val="1"/>
            </c:dLbl>
            <c:dLbl>
              <c:idx val="3"/>
              <c:layout>
                <c:manualLayout>
                  <c:x val="1.5536223815866251E-2"/>
                  <c:y val="-2.6934484566447155E-2"/>
                </c:manualLayout>
              </c:layout>
              <c:dLblPos val="outEnd"/>
              <c:showVal val="1"/>
            </c:dLbl>
            <c:spPr>
              <a:noFill/>
              <a:ln w="25297">
                <a:noFill/>
              </a:ln>
            </c:spPr>
            <c:txPr>
              <a:bodyPr/>
              <a:lstStyle/>
              <a:p>
                <a:pPr>
                  <a:defRPr b="0"/>
                </a:pPr>
                <a:endParaRPr lang="ar-SA"/>
              </a:p>
            </c:txPr>
            <c:showVal val="1"/>
          </c:dLbls>
          <c:cat>
            <c:strRef>
              <c:f>Sheet1!$B$1:$F$1</c:f>
              <c:strCache>
                <c:ptCount val="5"/>
                <c:pt idx="0">
                  <c:v>14-0</c:v>
                </c:pt>
                <c:pt idx="1">
                  <c:v>29-15</c:v>
                </c:pt>
                <c:pt idx="2">
                  <c:v>44-30</c:v>
                </c:pt>
                <c:pt idx="3">
                  <c:v>59-45</c:v>
                </c:pt>
                <c:pt idx="4">
                  <c:v>+60</c:v>
                </c:pt>
              </c:strCache>
            </c:strRef>
          </c:cat>
          <c:val>
            <c:numRef>
              <c:f>Sheet1!$B$3:$F$3</c:f>
              <c:numCache>
                <c:formatCode>General</c:formatCode>
                <c:ptCount val="5"/>
                <c:pt idx="0">
                  <c:v>34.5</c:v>
                </c:pt>
                <c:pt idx="1">
                  <c:v>31.2</c:v>
                </c:pt>
                <c:pt idx="2">
                  <c:v>17.2</c:v>
                </c:pt>
                <c:pt idx="3">
                  <c:v>10.5</c:v>
                </c:pt>
                <c:pt idx="4">
                  <c:v>6.5</c:v>
                </c:pt>
              </c:numCache>
            </c:numRef>
          </c:val>
        </c:ser>
        <c:dLbls>
          <c:showVal val="1"/>
        </c:dLbls>
        <c:axId val="49446912"/>
        <c:axId val="49448832"/>
      </c:barChart>
      <c:catAx>
        <c:axId val="49446912"/>
        <c:scaling>
          <c:orientation val="minMax"/>
        </c:scaling>
        <c:axPos val="b"/>
        <c:title>
          <c:tx>
            <c:rich>
              <a:bodyPr/>
              <a:lstStyle/>
              <a:p>
                <a:pPr>
                  <a:defRPr/>
                </a:pPr>
                <a:r>
                  <a:rPr lang="en-US"/>
                  <a:t>Age Groups</a:t>
                </a:r>
                <a:endParaRPr lang="ar-SA"/>
              </a:p>
            </c:rich>
          </c:tx>
          <c:layout>
            <c:manualLayout>
              <c:xMode val="edge"/>
              <c:yMode val="edge"/>
              <c:x val="0.49168207024031796"/>
              <c:y val="0.85897435897435892"/>
            </c:manualLayout>
          </c:layout>
          <c:spPr>
            <a:noFill/>
            <a:ln w="25297">
              <a:noFill/>
            </a:ln>
          </c:spPr>
        </c:title>
        <c:numFmt formatCode="General" sourceLinked="1"/>
        <c:tickLblPos val="nextTo"/>
        <c:spPr>
          <a:ln w="3162">
            <a:solidFill>
              <a:srgbClr val="000000"/>
            </a:solidFill>
            <a:prstDash val="solid"/>
          </a:ln>
        </c:spPr>
        <c:txPr>
          <a:bodyPr rot="0" vert="horz"/>
          <a:lstStyle/>
          <a:p>
            <a:pPr>
              <a:defRPr b="0"/>
            </a:pPr>
            <a:endParaRPr lang="ar-SA"/>
          </a:p>
        </c:txPr>
        <c:crossAx val="49448832"/>
        <c:crosses val="autoZero"/>
        <c:auto val="1"/>
        <c:lblAlgn val="ctr"/>
        <c:lblOffset val="100"/>
        <c:tickLblSkip val="1"/>
        <c:tickMarkSkip val="1"/>
      </c:catAx>
      <c:valAx>
        <c:axId val="49448832"/>
        <c:scaling>
          <c:orientation val="minMax"/>
        </c:scaling>
        <c:axPos val="l"/>
        <c:title>
          <c:tx>
            <c:rich>
              <a:bodyPr/>
              <a:lstStyle/>
              <a:p>
                <a:pPr>
                  <a:defRPr/>
                </a:pPr>
                <a:r>
                  <a:rPr lang="en-US"/>
                  <a:t>Percentage Distribution</a:t>
                </a:r>
                <a:endParaRPr lang="ar-SA"/>
              </a:p>
            </c:rich>
          </c:tx>
          <c:layout>
            <c:manualLayout>
              <c:xMode val="edge"/>
              <c:yMode val="edge"/>
              <c:x val="1.8099164788486964E-2"/>
              <c:y val="0.18566020593579649"/>
            </c:manualLayout>
          </c:layout>
          <c:spPr>
            <a:noFill/>
            <a:ln w="25297">
              <a:noFill/>
            </a:ln>
          </c:spPr>
        </c:title>
        <c:numFmt formatCode="General" sourceLinked="1"/>
        <c:tickLblPos val="nextTo"/>
        <c:spPr>
          <a:ln w="3162">
            <a:solidFill>
              <a:srgbClr val="000000"/>
            </a:solidFill>
            <a:prstDash val="solid"/>
          </a:ln>
        </c:spPr>
        <c:txPr>
          <a:bodyPr rot="0" vert="horz"/>
          <a:lstStyle/>
          <a:p>
            <a:pPr>
              <a:defRPr b="0"/>
            </a:pPr>
            <a:endParaRPr lang="ar-SA"/>
          </a:p>
        </c:txPr>
        <c:crossAx val="49446912"/>
        <c:crosses val="autoZero"/>
        <c:crossBetween val="between"/>
      </c:valAx>
      <c:spPr>
        <a:noFill/>
        <a:ln w="25297">
          <a:noFill/>
        </a:ln>
      </c:spPr>
    </c:plotArea>
    <c:legend>
      <c:legendPos val="t"/>
      <c:layout/>
      <c:spPr>
        <a:noFill/>
        <a:ln w="3162">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Calibri"/>
          <a:ea typeface="Calibri"/>
          <a:cs typeface="+mn-cs"/>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90429390094335"/>
          <c:y val="9.053497942387087E-2"/>
          <c:w val="0.840957060990567"/>
          <c:h val="0.71585398790850363"/>
        </c:manualLayout>
      </c:layout>
      <c:barChart>
        <c:barDir val="col"/>
        <c:grouping val="clustered"/>
        <c:ser>
          <c:idx val="0"/>
          <c:order val="0"/>
          <c:tx>
            <c:strRef>
              <c:f>Sheet1!$A$2</c:f>
              <c:strCache>
                <c:ptCount val="1"/>
                <c:pt idx="0">
                  <c:v> Males</c:v>
                </c:pt>
              </c:strCache>
            </c:strRef>
          </c:tx>
          <c:spPr>
            <a:solidFill>
              <a:srgbClr val="9999FF"/>
            </a:solidFill>
            <a:ln w="12684">
              <a:solidFill>
                <a:srgbClr val="000000"/>
              </a:solidFill>
              <a:prstDash val="solid"/>
            </a:ln>
          </c:spPr>
          <c:dLbls>
            <c:dLbl>
              <c:idx val="0"/>
              <c:layout>
                <c:manualLayout>
                  <c:x val="-6.7381743322424484E-3"/>
                  <c:y val="6.3034019506484824E-4"/>
                </c:manualLayout>
              </c:layout>
              <c:dLblPos val="outEnd"/>
              <c:showVal val="1"/>
            </c:dLbl>
            <c:spPr>
              <a:noFill/>
              <a:ln w="25367">
                <a:noFill/>
              </a:ln>
            </c:spPr>
            <c:txPr>
              <a:bodyPr/>
              <a:lstStyle/>
              <a:p>
                <a:pPr>
                  <a:defRPr b="0"/>
                </a:pPr>
                <a:endParaRPr lang="ar-SA"/>
              </a:p>
            </c:txPr>
            <c:showVal val="1"/>
          </c:dLbls>
          <c:cat>
            <c:strRef>
              <c:f>Sheet1!$B$1:$D$1</c:f>
              <c:strCache>
                <c:ptCount val="3"/>
                <c:pt idx="0">
                  <c:v> Nablus</c:v>
                </c:pt>
                <c:pt idx="1">
                  <c:v> Jerusalem</c:v>
                </c:pt>
                <c:pt idx="2">
                  <c:v> Hebron</c:v>
                </c:pt>
              </c:strCache>
            </c:strRef>
          </c:cat>
          <c:val>
            <c:numRef>
              <c:f>Sheet1!$B$2:$D$2</c:f>
              <c:numCache>
                <c:formatCode>0.0</c:formatCode>
                <c:ptCount val="3"/>
                <c:pt idx="0">
                  <c:v>25.7</c:v>
                </c:pt>
                <c:pt idx="1">
                  <c:v>24.9</c:v>
                </c:pt>
                <c:pt idx="2" formatCode="General">
                  <c:v>24.3</c:v>
                </c:pt>
              </c:numCache>
            </c:numRef>
          </c:val>
        </c:ser>
        <c:ser>
          <c:idx val="1"/>
          <c:order val="1"/>
          <c:tx>
            <c:strRef>
              <c:f>Sheet1!$A$3</c:f>
              <c:strCache>
                <c:ptCount val="1"/>
                <c:pt idx="0">
                  <c:v> Females</c:v>
                </c:pt>
              </c:strCache>
            </c:strRef>
          </c:tx>
          <c:spPr>
            <a:solidFill>
              <a:srgbClr val="993366"/>
            </a:solidFill>
            <a:ln w="12684">
              <a:solidFill>
                <a:srgbClr val="000000"/>
              </a:solidFill>
              <a:prstDash val="solid"/>
            </a:ln>
          </c:spPr>
          <c:dLbls>
            <c:spPr>
              <a:noFill/>
              <a:ln w="25367">
                <a:noFill/>
              </a:ln>
            </c:spPr>
            <c:txPr>
              <a:bodyPr/>
              <a:lstStyle/>
              <a:p>
                <a:pPr>
                  <a:defRPr b="0"/>
                </a:pPr>
                <a:endParaRPr lang="ar-SA"/>
              </a:p>
            </c:txPr>
            <c:showVal val="1"/>
          </c:dLbls>
          <c:cat>
            <c:strRef>
              <c:f>Sheet1!$B$1:$D$1</c:f>
              <c:strCache>
                <c:ptCount val="3"/>
                <c:pt idx="0">
                  <c:v> Nablus</c:v>
                </c:pt>
                <c:pt idx="1">
                  <c:v> Jerusalem</c:v>
                </c:pt>
                <c:pt idx="2">
                  <c:v> Hebron</c:v>
                </c:pt>
              </c:strCache>
            </c:strRef>
          </c:cat>
          <c:val>
            <c:numRef>
              <c:f>Sheet1!$B$3:$D$3</c:f>
              <c:numCache>
                <c:formatCode>General</c:formatCode>
                <c:ptCount val="3"/>
                <c:pt idx="0">
                  <c:v>20.8</c:v>
                </c:pt>
                <c:pt idx="1">
                  <c:v>19.899999999999999</c:v>
                </c:pt>
                <c:pt idx="2">
                  <c:v>19.7</c:v>
                </c:pt>
              </c:numCache>
            </c:numRef>
          </c:val>
        </c:ser>
        <c:dLbls>
          <c:showVal val="1"/>
        </c:dLbls>
        <c:axId val="48827392"/>
        <c:axId val="48841856"/>
      </c:barChart>
      <c:catAx>
        <c:axId val="48827392"/>
        <c:scaling>
          <c:orientation val="minMax"/>
        </c:scaling>
        <c:axPos val="b"/>
        <c:title>
          <c:tx>
            <c:rich>
              <a:bodyPr/>
              <a:lstStyle/>
              <a:p>
                <a:pPr>
                  <a:defRPr/>
                </a:pPr>
                <a:r>
                  <a:rPr lang="en-US"/>
                  <a:t>Governorate</a:t>
                </a:r>
              </a:p>
            </c:rich>
          </c:tx>
          <c:layout>
            <c:manualLayout>
              <c:xMode val="edge"/>
              <c:yMode val="edge"/>
              <c:x val="0.44207116184255885"/>
              <c:y val="0.90462219267446464"/>
            </c:manualLayout>
          </c:layout>
          <c:spPr>
            <a:noFill/>
            <a:ln w="25367">
              <a:noFill/>
            </a:ln>
          </c:spPr>
        </c:title>
        <c:numFmt formatCode="General" sourceLinked="1"/>
        <c:tickLblPos val="nextTo"/>
        <c:spPr>
          <a:ln w="3171">
            <a:solidFill>
              <a:srgbClr val="000000"/>
            </a:solidFill>
            <a:prstDash val="solid"/>
          </a:ln>
        </c:spPr>
        <c:txPr>
          <a:bodyPr rot="0" vert="horz"/>
          <a:lstStyle/>
          <a:p>
            <a:pPr>
              <a:defRPr b="0"/>
            </a:pPr>
            <a:endParaRPr lang="ar-SA"/>
          </a:p>
        </c:txPr>
        <c:crossAx val="48841856"/>
        <c:crosses val="autoZero"/>
        <c:auto val="1"/>
        <c:lblAlgn val="ctr"/>
        <c:lblOffset val="100"/>
        <c:tickLblSkip val="1"/>
        <c:tickMarkSkip val="1"/>
      </c:catAx>
      <c:valAx>
        <c:axId val="48841856"/>
        <c:scaling>
          <c:orientation val="minMax"/>
        </c:scaling>
        <c:axPos val="l"/>
        <c:title>
          <c:tx>
            <c:rich>
              <a:bodyPr/>
              <a:lstStyle/>
              <a:p>
                <a:pPr>
                  <a:defRPr/>
                </a:pPr>
                <a:r>
                  <a:rPr lang="en-US" sz="700">
                    <a:latin typeface="Arial" pitchFamily="34" charset="0"/>
                    <a:cs typeface="Arial" pitchFamily="34" charset="0"/>
                  </a:rPr>
                  <a:t>Median </a:t>
                </a:r>
                <a:r>
                  <a:rPr lang="en-US" sz="800">
                    <a:latin typeface="Arial" pitchFamily="34" charset="0"/>
                    <a:cs typeface="Arial" pitchFamily="34" charset="0"/>
                  </a:rPr>
                  <a:t>Age by Years</a:t>
                </a:r>
              </a:p>
            </c:rich>
          </c:tx>
          <c:layout>
            <c:manualLayout>
              <c:xMode val="edge"/>
              <c:yMode val="edge"/>
              <c:x val="4.0616452055891844E-2"/>
              <c:y val="0.24996242989335107"/>
            </c:manualLayout>
          </c:layout>
          <c:spPr>
            <a:noFill/>
            <a:ln w="25367">
              <a:noFill/>
            </a:ln>
          </c:spPr>
        </c:title>
        <c:numFmt formatCode="0.0" sourceLinked="1"/>
        <c:tickLblPos val="nextTo"/>
        <c:spPr>
          <a:ln w="3171">
            <a:solidFill>
              <a:srgbClr val="000000"/>
            </a:solidFill>
            <a:prstDash val="solid"/>
          </a:ln>
        </c:spPr>
        <c:txPr>
          <a:bodyPr rot="0" vert="horz"/>
          <a:lstStyle/>
          <a:p>
            <a:pPr>
              <a:defRPr/>
            </a:pPr>
            <a:endParaRPr lang="ar-SA"/>
          </a:p>
        </c:txPr>
        <c:crossAx val="48827392"/>
        <c:crosses val="autoZero"/>
        <c:crossBetween val="between"/>
      </c:valAx>
      <c:spPr>
        <a:noFill/>
        <a:ln w="25367">
          <a:noFill/>
        </a:ln>
      </c:spPr>
    </c:plotArea>
    <c:legend>
      <c:legendPos val="r"/>
      <c:layout>
        <c:manualLayout>
          <c:xMode val="edge"/>
          <c:yMode val="edge"/>
          <c:x val="0.27692307348105288"/>
          <c:y val="2.1089076439599393E-2"/>
          <c:w val="0.60769230769230764"/>
          <c:h val="9.053497942387087E-2"/>
        </c:manualLayout>
      </c:layout>
      <c:spPr>
        <a:noFill/>
        <a:ln w="3171">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Calibri"/>
          <a:ea typeface="Calibri"/>
          <a:cs typeface="+mn-cs"/>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27553278923102"/>
          <c:y val="5.8275287704421572E-2"/>
          <c:w val="0.85954550952586561"/>
          <c:h val="0.59691014358499339"/>
        </c:manualLayout>
      </c:layout>
      <c:barChart>
        <c:barDir val="col"/>
        <c:grouping val="clustered"/>
        <c:ser>
          <c:idx val="0"/>
          <c:order val="0"/>
          <c:tx>
            <c:strRef>
              <c:f>Sheet1!$A$2</c:f>
              <c:strCache>
                <c:ptCount val="1"/>
              </c:strCache>
            </c:strRef>
          </c:tx>
          <c:spPr>
            <a:solidFill>
              <a:srgbClr val="9999FF"/>
            </a:solidFill>
            <a:ln w="12701">
              <a:solidFill>
                <a:srgbClr val="000000"/>
              </a:solidFill>
              <a:prstDash val="solid"/>
            </a:ln>
          </c:spPr>
          <c:dLbls>
            <c:txPr>
              <a:bodyPr/>
              <a:lstStyle/>
              <a:p>
                <a:pPr>
                  <a:defRPr b="0"/>
                </a:pPr>
                <a:endParaRPr lang="ar-SA"/>
              </a:p>
            </c:txPr>
            <c:dLblPos val="outEnd"/>
            <c:showVal val="1"/>
          </c:dLbls>
          <c:cat>
            <c:strRef>
              <c:f>Sheet1!$B$1:$E$1</c:f>
              <c:strCache>
                <c:ptCount val="3"/>
                <c:pt idx="0">
                  <c:v> Use a computer</c:v>
                </c:pt>
                <c:pt idx="1">
                  <c:v>Use the Internet</c:v>
                </c:pt>
                <c:pt idx="2">
                  <c:v>Own amobile phone</c:v>
                </c:pt>
              </c:strCache>
            </c:strRef>
          </c:cat>
          <c:val>
            <c:numRef>
              <c:f>Sheet1!$B$2:$E$2</c:f>
              <c:numCache>
                <c:formatCode>0.0</c:formatCode>
                <c:ptCount val="3"/>
                <c:pt idx="0">
                  <c:v>75.005330400814259</c:v>
                </c:pt>
                <c:pt idx="1">
                  <c:v>67.900000000000006</c:v>
                </c:pt>
                <c:pt idx="2" formatCode="General">
                  <c:v>70.599999999999994</c:v>
                </c:pt>
              </c:numCache>
            </c:numRef>
          </c:val>
        </c:ser>
        <c:dLbls>
          <c:showVal val="1"/>
        </c:dLbls>
        <c:axId val="49497216"/>
        <c:axId val="49499136"/>
      </c:barChart>
      <c:catAx>
        <c:axId val="49497216"/>
        <c:scaling>
          <c:orientation val="minMax"/>
        </c:scaling>
        <c:axPos val="b"/>
        <c:title>
          <c:tx>
            <c:rich>
              <a:bodyPr/>
              <a:lstStyle/>
              <a:p>
                <a:pPr>
                  <a:defRPr/>
                </a:pPr>
                <a:r>
                  <a:rPr lang="en-US"/>
                  <a:t>Use of ICT Tools</a:t>
                </a:r>
                <a:endParaRPr lang="ar-SA"/>
              </a:p>
            </c:rich>
          </c:tx>
          <c:layout>
            <c:manualLayout>
              <c:xMode val="edge"/>
              <c:yMode val="edge"/>
              <c:x val="0.42551235270680982"/>
              <c:y val="0.80486495981013551"/>
            </c:manualLayout>
          </c:layout>
          <c:spPr>
            <a:noFill/>
            <a:ln w="25401">
              <a:noFill/>
            </a:ln>
          </c:spPr>
        </c:title>
        <c:numFmt formatCode="@" sourceLinked="1"/>
        <c:tickLblPos val="low"/>
        <c:spPr>
          <a:ln w="3175">
            <a:solidFill>
              <a:srgbClr val="000000"/>
            </a:solidFill>
            <a:prstDash val="solid"/>
          </a:ln>
        </c:spPr>
        <c:txPr>
          <a:bodyPr rot="0" vert="horz"/>
          <a:lstStyle/>
          <a:p>
            <a:pPr>
              <a:defRPr b="0"/>
            </a:pPr>
            <a:endParaRPr lang="ar-SA"/>
          </a:p>
        </c:txPr>
        <c:crossAx val="49499136"/>
        <c:crosses val="autoZero"/>
        <c:auto val="1"/>
        <c:lblAlgn val="ctr"/>
        <c:lblOffset val="100"/>
        <c:tickLblSkip val="1"/>
        <c:tickMarkSkip val="1"/>
      </c:catAx>
      <c:valAx>
        <c:axId val="49499136"/>
        <c:scaling>
          <c:orientation val="minMax"/>
        </c:scaling>
        <c:axPos val="l"/>
        <c:title>
          <c:tx>
            <c:rich>
              <a:bodyPr rot="-5400000" vert="horz"/>
              <a:lstStyle/>
              <a:p>
                <a:pPr algn="ctr">
                  <a:defRPr/>
                </a:pPr>
                <a:r>
                  <a:rPr lang="en-US"/>
                  <a:t>Percentage </a:t>
                </a:r>
                <a:endParaRPr lang="ar-SA"/>
              </a:p>
            </c:rich>
          </c:tx>
          <c:layout>
            <c:manualLayout>
              <c:xMode val="edge"/>
              <c:yMode val="edge"/>
              <c:x val="1.1143677133816426E-2"/>
              <c:y val="0.18746271421954608"/>
            </c:manualLayout>
          </c:layout>
          <c:spPr>
            <a:noFill/>
            <a:ln w="25401">
              <a:noFill/>
            </a:ln>
          </c:spPr>
        </c:title>
        <c:numFmt formatCode="0.0" sourceLinked="1"/>
        <c:tickLblPos val="nextTo"/>
        <c:spPr>
          <a:ln w="3175">
            <a:solidFill>
              <a:srgbClr val="000000"/>
            </a:solidFill>
            <a:prstDash val="solid"/>
          </a:ln>
        </c:spPr>
        <c:txPr>
          <a:bodyPr rot="0" vert="horz"/>
          <a:lstStyle/>
          <a:p>
            <a:pPr>
              <a:defRPr b="0"/>
            </a:pPr>
            <a:endParaRPr lang="ar-SA"/>
          </a:p>
        </c:txPr>
        <c:crossAx val="49497216"/>
        <c:crosses val="autoZero"/>
        <c:crossBetween val="between"/>
      </c:valAx>
      <c:spPr>
        <a:noFill/>
        <a:ln w="25400">
          <a:noFill/>
        </a:ln>
      </c:spPr>
    </c:plotArea>
    <c:plotVisOnly val="1"/>
    <c:dispBlanksAs val="gap"/>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26972156518788715"/>
          <c:y val="9.0470968387990403E-2"/>
          <c:w val="0.38212742462070298"/>
          <c:h val="0.77849562282975615"/>
        </c:manualLayout>
      </c:layout>
      <c:pieChart>
        <c:varyColors val="1"/>
        <c:ser>
          <c:idx val="0"/>
          <c:order val="0"/>
          <c:tx>
            <c:strRef>
              <c:f>Sheet1!$A$2</c:f>
              <c:strCache>
                <c:ptCount val="1"/>
                <c:pt idx="0">
                  <c:v>نوع المسكن</c:v>
                </c:pt>
              </c:strCache>
            </c:strRef>
          </c:tx>
          <c:dLbls>
            <c:dLbl>
              <c:idx val="0"/>
              <c:layout>
                <c:manualLayout>
                  <c:x val="6.7002712694449795E-2"/>
                  <c:y val="1.0173619601897589E-2"/>
                </c:manualLayout>
              </c:layout>
              <c:showVal val="1"/>
              <c:showCatName val="1"/>
              <c:separator>
</c:separator>
            </c:dLbl>
            <c:dLbl>
              <c:idx val="1"/>
              <c:layout>
                <c:manualLayout>
                  <c:x val="-3.1686071634338391E-2"/>
                  <c:y val="-0.12896757470533574"/>
                </c:manualLayout>
              </c:layout>
              <c:showVal val="1"/>
              <c:showCatName val="1"/>
              <c:separator>
</c:separator>
            </c:dLbl>
            <c:showVal val="1"/>
            <c:showCatName val="1"/>
            <c:separator>
</c:separator>
            <c:showLeaderLines val="1"/>
          </c:dLbls>
          <c:cat>
            <c:strRef>
              <c:f>Sheet1!$B$1:$C$1</c:f>
              <c:strCache>
                <c:ptCount val="2"/>
                <c:pt idx="0">
                  <c:v> Villa\Huose</c:v>
                </c:pt>
                <c:pt idx="1">
                  <c:v> Apartment\
 Separate Room</c:v>
                </c:pt>
              </c:strCache>
            </c:strRef>
          </c:cat>
          <c:val>
            <c:numRef>
              <c:f>Sheet1!$B$2:$C$2</c:f>
              <c:numCache>
                <c:formatCode>0.0</c:formatCode>
                <c:ptCount val="2"/>
                <c:pt idx="0">
                  <c:v>46.312947069016566</c:v>
                </c:pt>
                <c:pt idx="1">
                  <c:v>53.7</c:v>
                </c:pt>
              </c:numCache>
            </c:numRef>
          </c:val>
        </c:ser>
        <c:dLbls>
          <c:showVal val="1"/>
        </c:dLbls>
        <c:firstSliceAng val="0"/>
      </c:pieChart>
    </c:plotArea>
    <c:plotVisOnly val="1"/>
    <c:dispBlanksAs val="zero"/>
  </c:chart>
  <c:txPr>
    <a:bodyPr/>
    <a:lstStyle/>
    <a:p>
      <a:pPr>
        <a:defRPr sz="800"/>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96650717703359"/>
          <c:y val="0.14540059347181244"/>
          <c:w val="0.46092503987242195"/>
          <c:h val="0.85756676557861256"/>
        </c:manualLayout>
      </c:layout>
      <c:pieChart>
        <c:varyColors val="1"/>
        <c:ser>
          <c:idx val="0"/>
          <c:order val="0"/>
          <c:tx>
            <c:strRef>
              <c:f>Sheet1!$A$2</c:f>
              <c:strCache>
                <c:ptCount val="1"/>
                <c:pt idx="0">
                  <c:v>النسبة</c:v>
                </c:pt>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3.6956359573457651E-2"/>
                  <c:y val="-0.38119065866610474"/>
                </c:manualLayout>
              </c:layout>
              <c:tx>
                <c:rich>
                  <a:bodyPr/>
                  <a:lstStyle/>
                  <a:p>
                    <a:r>
                      <a:rPr lang="en-US"/>
                      <a:t>Victim \Clan
86.9%</a:t>
                    </a:r>
                  </a:p>
                </c:rich>
              </c:tx>
              <c:dLblPos val="bestFit"/>
              <c:showVal val="1"/>
              <c:showCatName val="1"/>
              <c:separator>
</c:separator>
            </c:dLbl>
            <c:dLbl>
              <c:idx val="1"/>
              <c:layout>
                <c:manualLayout>
                  <c:x val="3.7082330582864274E-2"/>
                  <c:y val="-0.31036425681222535"/>
                </c:manualLayout>
              </c:layout>
              <c:tx>
                <c:rich>
                  <a:bodyPr/>
                  <a:lstStyle/>
                  <a:p>
                    <a:r>
                      <a:rPr lang="en-US"/>
                      <a:t>Crime Port\Clan</a:t>
                    </a:r>
                    <a:r>
                      <a:rPr lang="ar-SA"/>
                      <a:t>
7.3%</a:t>
                    </a:r>
                  </a:p>
                </c:rich>
              </c:tx>
              <c:dLblPos val="bestFit"/>
              <c:showVal val="1"/>
              <c:showCatName val="1"/>
              <c:separator>
</c:separator>
            </c:dLbl>
            <c:dLbl>
              <c:idx val="2"/>
              <c:layout>
                <c:manualLayout>
                  <c:x val="0.12185213937459695"/>
                  <c:y val="-1.2443516606533781E-2"/>
                </c:manualLayout>
              </c:layout>
              <c:dLblPos val="bestFit"/>
              <c:showVal val="1"/>
              <c:showCatName val="1"/>
              <c:separator>
</c:separator>
            </c:dLbl>
            <c:spPr>
              <a:noFill/>
              <a:ln w="25399">
                <a:noFill/>
              </a:ln>
            </c:spPr>
            <c:showVal val="1"/>
            <c:showCatName val="1"/>
            <c:separator>
</c:separator>
            <c:showLeaderLines val="1"/>
          </c:dLbls>
          <c:cat>
            <c:strRef>
              <c:f>Sheet1!$B$1:$D$1</c:f>
              <c:strCache>
                <c:ptCount val="3"/>
                <c:pt idx="0">
                  <c:v>ا    Victim\Clan</c:v>
                </c:pt>
                <c:pt idx="1">
                  <c:v> Crime Port\Clan</c:v>
                </c:pt>
                <c:pt idx="2">
                  <c:v> Insurance</c:v>
                </c:pt>
              </c:strCache>
            </c:strRef>
          </c:cat>
          <c:val>
            <c:numRef>
              <c:f>Sheet1!$B$2:$D$2</c:f>
              <c:numCache>
                <c:formatCode>0.0%</c:formatCode>
                <c:ptCount val="3"/>
                <c:pt idx="0">
                  <c:v>0.86900000000000144</c:v>
                </c:pt>
                <c:pt idx="1">
                  <c:v>7.3000000000000009E-2</c:v>
                </c:pt>
                <c:pt idx="2">
                  <c:v>5.8000000000000003E-2</c:v>
                </c:pt>
              </c:numCache>
            </c:numRef>
          </c:val>
        </c:ser>
        <c:dLbls>
          <c:showVal val="1"/>
        </c:dLbls>
        <c:firstSliceAng val="114"/>
      </c:pieChart>
      <c:spPr>
        <a:noFill/>
        <a:ln w="25400">
          <a:noFill/>
        </a:ln>
      </c:spPr>
    </c:plotArea>
    <c:plotVisOnly val="1"/>
    <c:dispBlanksAs val="zero"/>
  </c:chart>
  <c:spPr>
    <a:noFill/>
    <a:ln>
      <a:noFill/>
    </a:ln>
  </c:spPr>
  <c:txPr>
    <a:bodyPr/>
    <a:lstStyle/>
    <a:p>
      <a:pPr>
        <a:defRPr sz="800" b="1" i="0" u="none" strike="noStrike" baseline="0">
          <a:solidFill>
            <a:srgbClr val="000000"/>
          </a:solidFill>
          <a:latin typeface="Calibri"/>
          <a:ea typeface="Calibri"/>
          <a:cs typeface="+mn-cs"/>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10431606799681"/>
          <c:y val="0.16006072411680242"/>
          <c:w val="0.42283666874298764"/>
          <c:h val="0.72633615919961159"/>
        </c:manualLayout>
      </c:layout>
      <c:pieChart>
        <c:varyColors val="1"/>
        <c:ser>
          <c:idx val="0"/>
          <c:order val="0"/>
          <c:tx>
            <c:strRef>
              <c:f>Sheet1!$B$1</c:f>
              <c:strCache>
                <c:ptCount val="1"/>
                <c:pt idx="0">
                  <c:v>Sales</c:v>
                </c:pt>
              </c:strCache>
            </c:strRef>
          </c:tx>
          <c:explosion val="25"/>
          <c:dLbls>
            <c:dLbl>
              <c:idx val="0"/>
              <c:layout>
                <c:manualLayout>
                  <c:x val="0.11808255205421862"/>
                  <c:y val="1.6870330233111484E-2"/>
                </c:manualLayout>
              </c:layout>
              <c:tx>
                <c:rich>
                  <a:bodyPr/>
                  <a:lstStyle/>
                  <a:p>
                    <a:pPr rtl="0">
                      <a:defRPr sz="653" b="0" i="0" u="none" strike="noStrike" baseline="0">
                        <a:solidFill>
                          <a:srgbClr val="000000"/>
                        </a:solidFill>
                        <a:latin typeface="Calibri"/>
                        <a:ea typeface="Calibri"/>
                        <a:cs typeface="Calibri"/>
                      </a:defRPr>
                    </a:pPr>
                    <a:r>
                      <a:rPr lang="en-GB" sz="694" b="0" i="0" u="none" strike="noStrike" baseline="0">
                        <a:solidFill>
                          <a:srgbClr val="000000"/>
                        </a:solidFill>
                        <a:latin typeface="Arial"/>
                        <a:cs typeface="Arial"/>
                      </a:rPr>
                      <a:t>Employers</a:t>
                    </a:r>
                  </a:p>
                  <a:p>
                    <a:pPr rtl="0">
                      <a:defRPr sz="653" b="0" i="0" u="none" strike="noStrike" baseline="0">
                        <a:solidFill>
                          <a:srgbClr val="000000"/>
                        </a:solidFill>
                        <a:latin typeface="Calibri"/>
                        <a:ea typeface="Calibri"/>
                        <a:cs typeface="Calibri"/>
                      </a:defRPr>
                    </a:pPr>
                    <a:r>
                      <a:rPr lang="ar-SA" sz="694" b="0" i="0" u="none" strike="noStrike" baseline="0">
                        <a:solidFill>
                          <a:srgbClr val="000000"/>
                        </a:solidFill>
                        <a:latin typeface="Arial"/>
                        <a:cs typeface="Arial"/>
                      </a:rPr>
                      <a:t>5.4</a:t>
                    </a:r>
                    <a:r>
                      <a:rPr lang="en-US" sz="694" b="0" i="0" u="none" strike="noStrike" baseline="0">
                        <a:solidFill>
                          <a:srgbClr val="000000"/>
                        </a:solidFill>
                        <a:latin typeface="Arial"/>
                        <a:cs typeface="Arial"/>
                      </a:rPr>
                      <a:t>%</a:t>
                    </a:r>
                    <a:endParaRPr lang="en-GB" sz="694" b="0" i="0" u="none" strike="noStrike" baseline="0">
                      <a:solidFill>
                        <a:srgbClr val="000000"/>
                      </a:solidFill>
                      <a:latin typeface="Arial"/>
                      <a:cs typeface="Arial"/>
                    </a:endParaRPr>
                  </a:p>
                </c:rich>
              </c:tx>
              <c:spPr/>
              <c:dLblPos val="bestFit"/>
            </c:dLbl>
            <c:dLbl>
              <c:idx val="1"/>
              <c:layout>
                <c:manualLayout>
                  <c:x val="0.11287154014470301"/>
                  <c:y val="0.11350032465454005"/>
                </c:manualLayout>
              </c:layout>
              <c:tx>
                <c:rich>
                  <a:bodyPr/>
                  <a:lstStyle/>
                  <a:p>
                    <a:pPr>
                      <a:defRPr sz="753" b="0" i="0" u="none" strike="noStrike" baseline="0">
                        <a:solidFill>
                          <a:srgbClr val="000000"/>
                        </a:solidFill>
                        <a:latin typeface="Calibri"/>
                        <a:ea typeface="Calibri"/>
                        <a:cs typeface="Calibri"/>
                      </a:defRPr>
                    </a:pPr>
                    <a:r>
                      <a:rPr lang="en-GB" sz="694" b="0" i="0" u="none" strike="noStrike" baseline="0">
                        <a:solidFill>
                          <a:srgbClr val="000000"/>
                        </a:solidFill>
                        <a:latin typeface="Arial"/>
                        <a:cs typeface="Arial"/>
                      </a:rPr>
                      <a:t>Self-employed 11.6%</a:t>
                    </a:r>
                  </a:p>
                </c:rich>
              </c:tx>
              <c:spPr/>
              <c:dLblPos val="bestFit"/>
            </c:dLbl>
            <c:dLbl>
              <c:idx val="2"/>
              <c:layout>
                <c:manualLayout>
                  <c:x val="-0.12414453264335874"/>
                  <c:y val="-5.0332610862668166E-2"/>
                </c:manualLayout>
              </c:layout>
              <c:tx>
                <c:rich>
                  <a:bodyPr/>
                  <a:lstStyle/>
                  <a:p>
                    <a:pPr>
                      <a:defRPr sz="753" b="0" i="0" u="none" strike="noStrike" baseline="0">
                        <a:solidFill>
                          <a:srgbClr val="000000"/>
                        </a:solidFill>
                        <a:latin typeface="Calibri"/>
                        <a:ea typeface="Calibri"/>
                        <a:cs typeface="Calibri"/>
                      </a:defRPr>
                    </a:pPr>
                    <a:r>
                      <a:rPr lang="en-GB" sz="694" b="0" i="0" u="none" strike="noStrike" baseline="0">
                        <a:solidFill>
                          <a:srgbClr val="000000"/>
                        </a:solidFill>
                        <a:latin typeface="Arial"/>
                        <a:cs typeface="Arial"/>
                      </a:rPr>
                      <a:t>Wage employee 81.9%</a:t>
                    </a:r>
                  </a:p>
                </c:rich>
              </c:tx>
              <c:spPr/>
              <c:dLblPos val="bestFit"/>
            </c:dLbl>
            <c:dLbl>
              <c:idx val="3"/>
              <c:layout>
                <c:manualLayout>
                  <c:x val="-0.32638971852656956"/>
                  <c:y val="0"/>
                </c:manualLayout>
              </c:layout>
              <c:tx>
                <c:rich>
                  <a:bodyPr/>
                  <a:lstStyle/>
                  <a:p>
                    <a:pPr rtl="0">
                      <a:defRPr sz="753" b="0" i="0" u="none" strike="noStrike" baseline="0">
                        <a:solidFill>
                          <a:srgbClr val="000000"/>
                        </a:solidFill>
                        <a:latin typeface="Calibri"/>
                        <a:ea typeface="Calibri"/>
                        <a:cs typeface="Calibri"/>
                      </a:defRPr>
                    </a:pPr>
                    <a:r>
                      <a:rPr lang="en-GB" sz="694" b="0" i="0" u="none" strike="noStrike" baseline="0">
                        <a:solidFill>
                          <a:srgbClr val="000000"/>
                        </a:solidFill>
                        <a:latin typeface="Arial"/>
                        <a:cs typeface="Arial"/>
                      </a:rPr>
                      <a:t>Unpaid family member 1.1%</a:t>
                    </a:r>
                  </a:p>
                </c:rich>
              </c:tx>
              <c:spPr/>
              <c:dLblPos val="bestFit"/>
            </c:dLbl>
            <c:txPr>
              <a:bodyPr/>
              <a:lstStyle/>
              <a:p>
                <a:pPr>
                  <a:defRPr sz="781" baseline="0">
                    <a:latin typeface="Arial" pitchFamily="34" charset="0"/>
                  </a:defRPr>
                </a:pPr>
                <a:endParaRPr lang="ar-SA"/>
              </a:p>
            </c:txPr>
            <c:showVal val="1"/>
            <c:showCatName val="1"/>
            <c:showLeaderLines val="1"/>
          </c:dLbls>
          <c:cat>
            <c:numRef>
              <c:f>Sheet1!$A$2:$A$5</c:f>
              <c:numCache>
                <c:formatCode>General</c:formatCode>
                <c:ptCount val="4"/>
              </c:numCache>
            </c:numRef>
          </c:cat>
          <c:val>
            <c:numRef>
              <c:f>Sheet1!$B$2:$B$5</c:f>
              <c:numCache>
                <c:formatCode>General</c:formatCode>
                <c:ptCount val="4"/>
                <c:pt idx="0">
                  <c:v>5.4</c:v>
                </c:pt>
                <c:pt idx="1">
                  <c:v>11.6</c:v>
                </c:pt>
                <c:pt idx="2">
                  <c:v>81.900000000000006</c:v>
                </c:pt>
                <c:pt idx="3">
                  <c:v>1.1000000000000001</c:v>
                </c:pt>
              </c:numCache>
            </c:numRef>
          </c:val>
        </c:ser>
        <c:dLbls>
          <c:showVal val="1"/>
          <c:showCatName val="1"/>
        </c:dLbls>
        <c:firstSliceAng val="0"/>
      </c:pieChart>
      <c:spPr>
        <a:noFill/>
        <a:ln w="22043">
          <a:noFill/>
        </a:ln>
      </c:spPr>
    </c:plotArea>
    <c:plotVisOnly val="1"/>
    <c:dispBlanksAs val="zero"/>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284442220651898E-2"/>
          <c:y val="5.3877385109075505E-2"/>
          <c:w val="0.88401013710431497"/>
          <c:h val="0.6515557982706307"/>
        </c:manualLayout>
      </c:layout>
      <c:barChart>
        <c:barDir val="col"/>
        <c:grouping val="clustered"/>
        <c:ser>
          <c:idx val="0"/>
          <c:order val="0"/>
          <c:tx>
            <c:strRef>
              <c:f>Sheet1!$A$2</c:f>
              <c:strCache>
                <c:ptCount val="1"/>
                <c:pt idx="0">
                  <c:v>2011</c:v>
                </c:pt>
              </c:strCache>
            </c:strRef>
          </c:tx>
          <c:spPr>
            <a:solidFill>
              <a:srgbClr val="9999FF"/>
            </a:solidFill>
            <a:ln w="12685">
              <a:solidFill>
                <a:srgbClr val="000000"/>
              </a:solidFill>
              <a:prstDash val="solid"/>
            </a:ln>
          </c:spPr>
          <c:dLbls>
            <c:dLbl>
              <c:idx val="0"/>
              <c:layout>
                <c:manualLayout>
                  <c:x val="-9.9776504557999267E-3"/>
                  <c:y val="0"/>
                </c:manualLayout>
              </c:layout>
              <c:showVal val="1"/>
            </c:dLbl>
            <c:showVal val="1"/>
          </c:dLbls>
          <c:cat>
            <c:strRef>
              <c:f>Sheet1!$B$1:$G$1</c:f>
              <c:strCache>
                <c:ptCount val="6"/>
                <c:pt idx="0">
                  <c:v>Wholesales and Retail Trade </c:v>
                </c:pt>
                <c:pt idx="1">
                  <c:v>Services  </c:v>
                </c:pt>
                <c:pt idx="2">
                  <c:v>Mining manufacturing,  Water and Electricity  </c:v>
                </c:pt>
                <c:pt idx="3">
                  <c:v>Construction  </c:v>
                </c:pt>
                <c:pt idx="4">
                  <c:v>Agricalture  and Fishing</c:v>
                </c:pt>
                <c:pt idx="5">
                  <c:v>Transportation, Storage and Communication </c:v>
                </c:pt>
              </c:strCache>
            </c:strRef>
          </c:cat>
          <c:val>
            <c:numRef>
              <c:f>Sheet1!$B$2:$G$2</c:f>
              <c:numCache>
                <c:formatCode>0.0</c:formatCode>
                <c:ptCount val="6"/>
                <c:pt idx="0">
                  <c:v>16.100000000000001</c:v>
                </c:pt>
                <c:pt idx="1">
                  <c:v>57.7</c:v>
                </c:pt>
                <c:pt idx="2">
                  <c:v>18.3</c:v>
                </c:pt>
                <c:pt idx="3">
                  <c:v>6.9</c:v>
                </c:pt>
                <c:pt idx="4">
                  <c:v>0.30000000000000032</c:v>
                </c:pt>
                <c:pt idx="5">
                  <c:v>0.70000000000000062</c:v>
                </c:pt>
              </c:numCache>
            </c:numRef>
          </c:val>
        </c:ser>
        <c:ser>
          <c:idx val="1"/>
          <c:order val="1"/>
          <c:tx>
            <c:strRef>
              <c:f>Sheet1!$A$3</c:f>
              <c:strCache>
                <c:ptCount val="1"/>
                <c:pt idx="0">
                  <c:v>2012</c:v>
                </c:pt>
              </c:strCache>
            </c:strRef>
          </c:tx>
          <c:spPr>
            <a:solidFill>
              <a:srgbClr val="993366"/>
            </a:solidFill>
            <a:ln w="12685">
              <a:solidFill>
                <a:srgbClr val="000000"/>
              </a:solidFill>
              <a:prstDash val="solid"/>
            </a:ln>
          </c:spPr>
          <c:dLbls>
            <c:dLbl>
              <c:idx val="1"/>
              <c:layout>
                <c:manualLayout>
                  <c:x val="2.4944126139499728E-2"/>
                  <c:y val="-3.9686207219599196E-17"/>
                </c:manualLayout>
              </c:layout>
              <c:showVal val="1"/>
            </c:dLbl>
            <c:showVal val="1"/>
          </c:dLbls>
          <c:cat>
            <c:strRef>
              <c:f>Sheet1!$B$1:$G$1</c:f>
              <c:strCache>
                <c:ptCount val="6"/>
                <c:pt idx="0">
                  <c:v>Wholesales and Retail Trade </c:v>
                </c:pt>
                <c:pt idx="1">
                  <c:v>Services  </c:v>
                </c:pt>
                <c:pt idx="2">
                  <c:v>Mining manufacturing,  Water and Electricity  </c:v>
                </c:pt>
                <c:pt idx="3">
                  <c:v>Construction  </c:v>
                </c:pt>
                <c:pt idx="4">
                  <c:v>Agricalture  and Fishing</c:v>
                </c:pt>
                <c:pt idx="5">
                  <c:v>Transportation, Storage and Communication </c:v>
                </c:pt>
              </c:strCache>
            </c:strRef>
          </c:cat>
          <c:val>
            <c:numRef>
              <c:f>Sheet1!$B$3:$G$3</c:f>
              <c:numCache>
                <c:formatCode>0.0</c:formatCode>
                <c:ptCount val="6"/>
                <c:pt idx="0">
                  <c:v>45.1</c:v>
                </c:pt>
                <c:pt idx="1">
                  <c:v>38.1</c:v>
                </c:pt>
                <c:pt idx="2">
                  <c:v>12.7</c:v>
                </c:pt>
                <c:pt idx="3">
                  <c:v>3.8</c:v>
                </c:pt>
                <c:pt idx="4">
                  <c:v>0.2</c:v>
                </c:pt>
                <c:pt idx="5">
                  <c:v>0.1</c:v>
                </c:pt>
              </c:numCache>
            </c:numRef>
          </c:val>
        </c:ser>
        <c:dLbls>
          <c:showVal val="1"/>
        </c:dLbls>
        <c:axId val="49950080"/>
        <c:axId val="49980928"/>
      </c:barChart>
      <c:catAx>
        <c:axId val="49950080"/>
        <c:scaling>
          <c:orientation val="minMax"/>
        </c:scaling>
        <c:axPos val="b"/>
        <c:title>
          <c:tx>
            <c:rich>
              <a:bodyPr/>
              <a:lstStyle/>
              <a:p>
                <a:pPr>
                  <a:defRPr b="1"/>
                </a:pPr>
                <a:r>
                  <a:rPr lang="en-US" b="1"/>
                  <a:t>Economic Activity</a:t>
                </a:r>
              </a:p>
            </c:rich>
          </c:tx>
          <c:layout>
            <c:manualLayout>
              <c:xMode val="edge"/>
              <c:yMode val="edge"/>
              <c:x val="0.41873322039782784"/>
              <c:y val="0.91908053362855002"/>
            </c:manualLayout>
          </c:layout>
          <c:spPr>
            <a:noFill/>
            <a:ln w="25369">
              <a:noFill/>
            </a:ln>
          </c:spPr>
        </c:title>
        <c:numFmt formatCode="General" sourceLinked="1"/>
        <c:tickLblPos val="nextTo"/>
        <c:spPr>
          <a:ln w="3171">
            <a:solidFill>
              <a:srgbClr val="000000"/>
            </a:solidFill>
            <a:prstDash val="solid"/>
          </a:ln>
        </c:spPr>
        <c:txPr>
          <a:bodyPr rot="0" vert="horz"/>
          <a:lstStyle/>
          <a:p>
            <a:pPr>
              <a:defRPr/>
            </a:pPr>
            <a:endParaRPr lang="ar-SA"/>
          </a:p>
        </c:txPr>
        <c:crossAx val="49980928"/>
        <c:crosses val="autoZero"/>
        <c:auto val="1"/>
        <c:lblAlgn val="ctr"/>
        <c:lblOffset val="100"/>
        <c:tickLblSkip val="1"/>
        <c:tickMarkSkip val="1"/>
      </c:catAx>
      <c:valAx>
        <c:axId val="49980928"/>
        <c:scaling>
          <c:orientation val="minMax"/>
          <c:max val="60"/>
        </c:scaling>
        <c:axPos val="l"/>
        <c:title>
          <c:tx>
            <c:rich>
              <a:bodyPr rot="-5400000" vert="horz"/>
              <a:lstStyle/>
              <a:p>
                <a:pPr>
                  <a:defRPr/>
                </a:pPr>
                <a:r>
                  <a:rPr lang="en-US" sz="800" b="1" i="0" u="none" strike="noStrike" baseline="0"/>
                  <a:t>Percentage</a:t>
                </a:r>
                <a:endParaRPr lang="en-US"/>
              </a:p>
            </c:rich>
          </c:tx>
          <c:layout>
            <c:manualLayout>
              <c:xMode val="edge"/>
              <c:yMode val="edge"/>
              <c:x val="8.6873091764717632E-3"/>
              <c:y val="0.24034283174540097"/>
            </c:manualLayout>
          </c:layout>
        </c:title>
        <c:numFmt formatCode="0" sourceLinked="0"/>
        <c:tickLblPos val="nextTo"/>
        <c:spPr>
          <a:ln w="3171">
            <a:solidFill>
              <a:srgbClr val="000000"/>
            </a:solidFill>
            <a:prstDash val="solid"/>
          </a:ln>
        </c:spPr>
        <c:txPr>
          <a:bodyPr rot="0" vert="horz"/>
          <a:lstStyle/>
          <a:p>
            <a:pPr>
              <a:defRPr/>
            </a:pPr>
            <a:endParaRPr lang="ar-SA"/>
          </a:p>
        </c:txPr>
        <c:crossAx val="49950080"/>
        <c:crosses val="autoZero"/>
        <c:crossBetween val="between"/>
      </c:valAx>
      <c:spPr>
        <a:noFill/>
        <a:ln w="25369">
          <a:noFill/>
        </a:ln>
      </c:spPr>
    </c:plotArea>
    <c:legend>
      <c:legendPos val="r"/>
      <c:layout>
        <c:manualLayout>
          <c:xMode val="edge"/>
          <c:yMode val="edge"/>
          <c:x val="0.75387596899224807"/>
          <c:y val="4.0498442367601313E-2"/>
          <c:w val="0.16085271317829489"/>
          <c:h val="7.7881619937695726E-2"/>
        </c:manualLayout>
      </c:layout>
      <c:spPr>
        <a:noFill/>
        <a:ln w="3171">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0.49975</cdr:x>
      <cdr:y>0.49</cdr:y>
    </cdr:from>
    <cdr:to>
      <cdr:x>0.5095</cdr:x>
      <cdr:y>0.543</cdr:y>
    </cdr:to>
    <cdr:sp macro="" textlink="">
      <cdr:nvSpPr>
        <cdr:cNvPr id="1025" name="Text Box 1"/>
        <cdr:cNvSpPr txBox="1">
          <a:spLocks xmlns:a="http://schemas.openxmlformats.org/drawingml/2006/main" noChangeArrowheads="1"/>
        </cdr:cNvSpPr>
      </cdr:nvSpPr>
      <cdr:spPr bwMode="auto">
        <a:xfrm xmlns:a="http://schemas.openxmlformats.org/drawingml/2006/main">
          <a:off x="2456221" y="1498187"/>
          <a:ext cx="47921" cy="162049"/>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82D89-E59F-47CA-8CC1-F083906E0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14</Pages>
  <Words>2517</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15780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YOUSEF</dc:creator>
  <cp:lastModifiedBy>yashqar</cp:lastModifiedBy>
  <cp:revision>81</cp:revision>
  <cp:lastPrinted>2014-06-11T06:02:00Z</cp:lastPrinted>
  <dcterms:created xsi:type="dcterms:W3CDTF">2014-06-01T08:40:00Z</dcterms:created>
  <dcterms:modified xsi:type="dcterms:W3CDTF">2014-06-12T08:43:00Z</dcterms:modified>
</cp:coreProperties>
</file>